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0C3DA">
      <w:pPr>
        <w:autoSpaceDE w:val="0"/>
        <w:autoSpaceDN w:val="0"/>
        <w:adjustRightInd w:val="0"/>
        <w:spacing w:before="1200" w:line="360" w:lineRule="auto"/>
        <w:jc w:val="center"/>
        <w:rPr>
          <w:rFonts w:ascii="宋体" w:hAnsi="宋体"/>
          <w:kern w:val="0"/>
          <w:szCs w:val="21"/>
        </w:rPr>
      </w:pPr>
      <w:r>
        <w:rPr>
          <w:rFonts w:ascii="宋体" w:hAnsi="宋体"/>
          <w:kern w:val="0"/>
          <w:szCs w:val="21"/>
        </w:rPr>
        <w:drawing>
          <wp:inline distT="0" distB="0" distL="0" distR="0">
            <wp:extent cx="3340735" cy="7740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40735" cy="774065"/>
                    </a:xfrm>
                    <a:prstGeom prst="rect">
                      <a:avLst/>
                    </a:prstGeom>
                    <a:noFill/>
                  </pic:spPr>
                </pic:pic>
              </a:graphicData>
            </a:graphic>
          </wp:inline>
        </w:drawing>
      </w:r>
    </w:p>
    <w:p w14:paraId="625885E2">
      <w:pPr>
        <w:spacing w:before="200" w:after="200"/>
        <w:jc w:val="center"/>
        <w:rPr>
          <w:rFonts w:ascii="宋体" w:hAnsi="宋体"/>
          <w:b/>
          <w:bCs/>
          <w:sz w:val="52"/>
          <w:szCs w:val="52"/>
        </w:rPr>
      </w:pPr>
      <w:r>
        <w:rPr>
          <w:rFonts w:ascii="宋体" w:hAnsi="宋体"/>
          <w:b/>
          <w:bCs/>
          <w:sz w:val="52"/>
          <w:szCs w:val="52"/>
        </w:rPr>
        <w:t>湖北盛天网络技术股份有限公司</w:t>
      </w:r>
    </w:p>
    <w:p w14:paraId="2EF3C8CB">
      <w:pPr>
        <w:spacing w:before="400"/>
        <w:jc w:val="center"/>
        <w:rPr>
          <w:rFonts w:ascii="宋体" w:hAnsi="宋体"/>
          <w:b/>
          <w:bCs/>
          <w:sz w:val="48"/>
          <w:szCs w:val="48"/>
        </w:rPr>
      </w:pPr>
    </w:p>
    <w:p w14:paraId="2A96C858">
      <w:pPr>
        <w:spacing w:before="100" w:beforeAutospacing="1" w:after="100" w:afterAutospacing="1" w:line="360" w:lineRule="auto"/>
        <w:jc w:val="center"/>
        <w:rPr>
          <w:rFonts w:hint="default" w:ascii="宋体" w:hAnsi="宋体" w:eastAsia="宋体"/>
          <w:b/>
          <w:bCs/>
          <w:sz w:val="48"/>
          <w:szCs w:val="48"/>
          <w:lang w:val="en-US" w:eastAsia="zh-CN"/>
        </w:rPr>
      </w:pPr>
      <w:r>
        <w:rPr>
          <w:rFonts w:hint="eastAsia" w:ascii="宋体" w:hAnsi="宋体"/>
          <w:b/>
          <w:bCs/>
          <w:sz w:val="48"/>
          <w:szCs w:val="48"/>
          <w:lang w:val="en-US" w:eastAsia="zh-CN"/>
        </w:rPr>
        <w:t>心系投资者</w:t>
      </w:r>
      <w:r>
        <w:rPr>
          <w:rFonts w:hint="eastAsia" w:ascii="宋体" w:hAnsi="宋体"/>
          <w:b/>
          <w:bCs/>
          <w:sz w:val="48"/>
          <w:szCs w:val="48"/>
        </w:rPr>
        <w:t xml:space="preserve"> </w:t>
      </w:r>
      <w:r>
        <w:rPr>
          <w:rFonts w:hint="eastAsia" w:ascii="宋体" w:hAnsi="宋体"/>
          <w:b/>
          <w:bCs/>
          <w:sz w:val="48"/>
          <w:szCs w:val="48"/>
          <w:lang w:val="en-US" w:eastAsia="zh-CN"/>
        </w:rPr>
        <w:t>携手共行动</w:t>
      </w:r>
    </w:p>
    <w:p w14:paraId="31C00B26">
      <w:pPr>
        <w:spacing w:before="100" w:beforeAutospacing="1" w:after="100" w:afterAutospacing="1" w:line="360" w:lineRule="auto"/>
        <w:jc w:val="center"/>
        <w:rPr>
          <w:rFonts w:hint="eastAsia" w:ascii="宋体" w:hAnsi="宋体"/>
          <w:b/>
          <w:bCs/>
          <w:sz w:val="44"/>
          <w:szCs w:val="44"/>
        </w:rPr>
      </w:pPr>
      <w:r>
        <w:rPr>
          <w:rFonts w:hint="eastAsia" w:ascii="宋体" w:hAnsi="宋体"/>
          <w:b/>
          <w:bCs/>
          <w:sz w:val="44"/>
          <w:szCs w:val="44"/>
        </w:rPr>
        <w:t>盛天网络202</w:t>
      </w:r>
      <w:r>
        <w:rPr>
          <w:rFonts w:hint="eastAsia" w:ascii="宋体" w:hAnsi="宋体"/>
          <w:b/>
          <w:bCs/>
          <w:sz w:val="44"/>
          <w:szCs w:val="44"/>
          <w:lang w:val="en-US" w:eastAsia="zh-CN"/>
        </w:rPr>
        <w:t>5</w:t>
      </w:r>
      <w:r>
        <w:rPr>
          <w:rFonts w:hint="eastAsia" w:ascii="宋体" w:hAnsi="宋体"/>
          <w:b/>
          <w:bCs/>
          <w:sz w:val="44"/>
          <w:szCs w:val="44"/>
        </w:rPr>
        <w:t>年投资者保护教育宣传专项活动</w:t>
      </w:r>
    </w:p>
    <w:p w14:paraId="26CBFF4C">
      <w:pPr>
        <w:spacing w:before="100" w:beforeAutospacing="1" w:after="100" w:afterAutospacing="1" w:line="360" w:lineRule="auto"/>
        <w:jc w:val="center"/>
        <w:rPr>
          <w:rFonts w:hint="eastAsia" w:ascii="宋体" w:hAnsi="宋体"/>
          <w:b/>
          <w:bCs/>
          <w:sz w:val="44"/>
          <w:szCs w:val="44"/>
        </w:rPr>
      </w:pPr>
    </w:p>
    <w:p w14:paraId="6C949D0F">
      <w:pPr>
        <w:spacing w:before="100" w:beforeAutospacing="1" w:after="100" w:afterAutospacing="1" w:line="360" w:lineRule="auto"/>
        <w:ind w:firstLine="440" w:firstLineChars="200"/>
        <w:jc w:val="both"/>
        <w:rPr>
          <w:rFonts w:hint="default" w:ascii="宋体" w:hAnsi="宋体"/>
          <w:b/>
          <w:bCs/>
          <w:sz w:val="44"/>
          <w:szCs w:val="44"/>
          <w:lang w:val="en-US"/>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为落实2025年“5.15全国投资者保护宣传日”活动相关要求，强化投资者信心，提升投资者获得感、认同感和自我保护能力，盛天网络于5.15全国投资者保护宣传日期间开展展投资者保护教育宣传专项活动。</w:t>
      </w:r>
    </w:p>
    <w:p w14:paraId="62718C37">
      <w:pPr>
        <w:widowControl/>
        <w:spacing w:line="360" w:lineRule="auto"/>
        <w:jc w:val="center"/>
        <w:rPr>
          <w:rFonts w:hint="eastAsia" w:ascii="宋体" w:hAnsi="宋体" w:cs="Arial"/>
          <w:b/>
          <w:bCs/>
          <w:color w:val="0D0D0D" w:themeColor="text1" w:themeTint="F2"/>
          <w:kern w:val="0"/>
          <w:sz w:val="32"/>
          <w:szCs w:val="36"/>
          <w:lang w:val="en-US" w:eastAsia="zh-CN"/>
          <w14:textFill>
            <w14:solidFill>
              <w14:schemeClr w14:val="tx1">
                <w14:lumMod w14:val="95000"/>
                <w14:lumOff w14:val="5000"/>
              </w14:schemeClr>
            </w14:solidFill>
          </w14:textFill>
        </w:rPr>
      </w:pPr>
      <w:r>
        <w:rPr>
          <w:rFonts w:hint="eastAsia" w:ascii="宋体" w:hAnsi="宋体" w:cs="Arial"/>
          <w:b/>
          <w:bCs/>
          <w:color w:val="0D0D0D" w:themeColor="text1" w:themeTint="F2"/>
          <w:kern w:val="0"/>
          <w:sz w:val="32"/>
          <w:szCs w:val="36"/>
          <w:lang w:val="en-US" w:eastAsia="zh-CN"/>
          <w14:textFill>
            <w14:solidFill>
              <w14:schemeClr w14:val="tx1">
                <w14:lumMod w14:val="95000"/>
                <w14:lumOff w14:val="5000"/>
              </w14:schemeClr>
            </w14:solidFill>
          </w14:textFill>
        </w:rPr>
        <w:t>第三期</w:t>
      </w:r>
    </w:p>
    <w:p w14:paraId="58D02652">
      <w:pPr>
        <w:widowControl/>
        <w:spacing w:line="360" w:lineRule="auto"/>
        <w:jc w:val="center"/>
        <w:rPr>
          <w:rFonts w:hint="eastAsia" w:ascii="宋体" w:hAnsi="宋体" w:cs="Arial"/>
          <w:b/>
          <w:bCs/>
          <w:color w:val="0D0D0D" w:themeColor="text1" w:themeTint="F2"/>
          <w:kern w:val="0"/>
          <w:sz w:val="32"/>
          <w:szCs w:val="36"/>
          <w:lang w:val="en-US" w:eastAsia="zh-CN"/>
          <w14:textFill>
            <w14:solidFill>
              <w14:schemeClr w14:val="tx1">
                <w14:lumMod w14:val="95000"/>
                <w14:lumOff w14:val="5000"/>
              </w14:schemeClr>
            </w14:solidFill>
          </w14:textFill>
        </w:rPr>
      </w:pPr>
      <w:r>
        <w:rPr>
          <w:rFonts w:hint="eastAsia" w:ascii="宋体" w:hAnsi="宋体" w:cs="Arial"/>
          <w:b/>
          <w:bCs/>
          <w:color w:val="0D0D0D" w:themeColor="text1" w:themeTint="F2"/>
          <w:kern w:val="0"/>
          <w:sz w:val="32"/>
          <w:szCs w:val="36"/>
          <w:lang w:val="en-US" w:eastAsia="zh-CN"/>
          <w14:textFill>
            <w14:solidFill>
              <w14:schemeClr w14:val="tx1">
                <w14:lumMod w14:val="95000"/>
                <w14:lumOff w14:val="5000"/>
              </w14:schemeClr>
            </w14:solidFill>
          </w14:textFill>
        </w:rPr>
        <w:t>《上市公司募集资金监管</w:t>
      </w:r>
      <w:bookmarkStart w:id="0" w:name="_GoBack"/>
      <w:bookmarkEnd w:id="0"/>
      <w:r>
        <w:rPr>
          <w:rFonts w:hint="eastAsia" w:ascii="宋体" w:hAnsi="宋体" w:cs="Arial"/>
          <w:b/>
          <w:bCs/>
          <w:color w:val="0D0D0D" w:themeColor="text1" w:themeTint="F2"/>
          <w:kern w:val="0"/>
          <w:sz w:val="32"/>
          <w:szCs w:val="36"/>
          <w:lang w:val="en-US" w:eastAsia="zh-CN"/>
          <w14:textFill>
            <w14:solidFill>
              <w14:schemeClr w14:val="tx1">
                <w14:lumMod w14:val="95000"/>
                <w14:lumOff w14:val="5000"/>
              </w14:schemeClr>
            </w14:solidFill>
          </w14:textFill>
        </w:rPr>
        <w:t>规则》</w:t>
      </w:r>
    </w:p>
    <w:p w14:paraId="2F47D5F0">
      <w:pPr>
        <w:widowControl/>
        <w:spacing w:line="360" w:lineRule="auto"/>
        <w:jc w:val="center"/>
        <w:rPr>
          <w:rFonts w:hint="eastAsia" w:ascii="宋体" w:hAnsi="宋体" w:cs="Arial"/>
          <w:b/>
          <w:bCs/>
          <w:color w:val="0D0D0D" w:themeColor="text1" w:themeTint="F2"/>
          <w:kern w:val="0"/>
          <w:sz w:val="32"/>
          <w:szCs w:val="36"/>
          <w:lang w:val="en-US" w:eastAsia="zh-CN"/>
          <w14:textFill>
            <w14:solidFill>
              <w14:schemeClr w14:val="tx1">
                <w14:lumMod w14:val="95000"/>
                <w14:lumOff w14:val="5000"/>
              </w14:schemeClr>
            </w14:solidFill>
          </w14:textFill>
        </w:rPr>
      </w:pPr>
      <w:r>
        <w:rPr>
          <w:rFonts w:hint="eastAsia" w:ascii="宋体" w:hAnsi="宋体" w:cs="Arial"/>
          <w:b/>
          <w:bCs/>
          <w:color w:val="0D0D0D" w:themeColor="text1" w:themeTint="F2"/>
          <w:kern w:val="0"/>
          <w:sz w:val="32"/>
          <w:szCs w:val="36"/>
          <w:lang w:val="en-US" w:eastAsia="zh-CN"/>
          <w14:textFill>
            <w14:solidFill>
              <w14:schemeClr w14:val="tx1">
                <w14:lumMod w14:val="95000"/>
                <w14:lumOff w14:val="5000"/>
              </w14:schemeClr>
            </w14:solidFill>
          </w14:textFill>
        </w:rPr>
        <w:t>修订说明</w:t>
      </w:r>
    </w:p>
    <w:p w14:paraId="4CE0B752">
      <w:pPr>
        <w:widowControl/>
        <w:spacing w:line="360" w:lineRule="auto"/>
        <w:jc w:val="center"/>
        <w:rPr>
          <w:rFonts w:hint="eastAsia" w:ascii="宋体" w:hAnsi="宋体" w:cs="Arial"/>
          <w:b/>
          <w:bCs/>
          <w:color w:val="0D0D0D" w:themeColor="text1" w:themeTint="F2"/>
          <w:kern w:val="0"/>
          <w:sz w:val="32"/>
          <w:szCs w:val="36"/>
          <w:lang w:val="en-US" w:eastAsia="zh-CN"/>
          <w14:textFill>
            <w14:solidFill>
              <w14:schemeClr w14:val="tx1">
                <w14:lumMod w14:val="95000"/>
                <w14:lumOff w14:val="5000"/>
              </w14:schemeClr>
            </w14:solidFill>
          </w14:textFill>
        </w:rPr>
      </w:pPr>
    </w:p>
    <w:p w14:paraId="3D48B070">
      <w:pPr>
        <w:widowControl/>
        <w:spacing w:line="360" w:lineRule="auto"/>
        <w:ind w:firstLine="440"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为进一步推动提高上市公司质量，严格募集资金监管，中国证监会组织开展募集资金监管规则修订工作，着力加强上市公司募集资金安全性和使用规范性，提升募集资金使用效率。现将《上市公司募集资金监管规则》（以下简称《监管规则》）修订情况说明如下。</w:t>
      </w:r>
    </w:p>
    <w:p w14:paraId="23117052">
      <w:pPr>
        <w:widowControl/>
        <w:spacing w:line="360" w:lineRule="auto"/>
        <w:ind w:firstLine="440"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一、修订背景</w:t>
      </w:r>
    </w:p>
    <w:p w14:paraId="5AE7CD9C">
      <w:pPr>
        <w:widowControl/>
        <w:spacing w:line="360" w:lineRule="auto"/>
        <w:ind w:firstLine="440"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证监会现行募集资金持续监管规则主要为《上市公司监管指引第2号—上市公司募集资金管理和使用的监管要求》（以下简称《2号指引》）。该规则最早于2012年12月发布，于2022年法规整合时进行细微调整，对上市公司募集资金存放使用、现金管理、临时补流、置换自筹资金、管理监督以及超募资金使用等方面进行规定，引导和推动上市公司规范管理和使用募集资金。为适应新形势下严格募集资金监管的工作需要，本次规则修订方向为：一是对实践中各方关注的焦点问题予以重点明确或规范，包括募投项目变更的认定标准、募集资金现金管理的信息披露要求等。二是建立与《证券法》《证券发行上市保荐业务管理办法》《上市公司信息披露管理办法》等上位法的衔接，进一步促进上市公司规范管理使用募集资金和中介机构勤勉尽责。三是总结提炼实践中成熟的经验做法，将交易所自律管理制度中运行较为成熟、受到市场认可</w:t>
      </w:r>
    </w:p>
    <w:p w14:paraId="2AA6D167">
      <w:pPr>
        <w:widowControl/>
        <w:spacing w:line="360" w:lineRule="auto"/>
        <w:ind w:firstLine="440"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的规则要求提升到证监会规范性文件层面，强化规范约束效力。四是做好与独董制度改革和《公司法》修订衔接配套，根据最新要求进行了规则适应性调整完善。</w:t>
      </w:r>
    </w:p>
    <w:p w14:paraId="5ED57B87">
      <w:pPr>
        <w:widowControl/>
        <w:spacing w:line="360" w:lineRule="auto"/>
        <w:ind w:firstLine="440"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二、主要修订内容</w:t>
      </w:r>
    </w:p>
    <w:p w14:paraId="4153396D">
      <w:pPr>
        <w:widowControl/>
        <w:spacing w:line="360" w:lineRule="auto"/>
        <w:ind w:firstLine="440"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本次修订将《2号指引》名称修改为《监管规则》，在规范性文件内部体系中由监管指引层级提升至基础规则层级，引导市场各方更加重视规范使用募集资金。具体规定方面，本次修订修改条文12条，新增9条，归并1条，删除1条，主要修订内容如下。</w:t>
      </w:r>
    </w:p>
    <w:p w14:paraId="62F73A29">
      <w:pPr>
        <w:widowControl/>
        <w:spacing w:line="360" w:lineRule="auto"/>
        <w:ind w:firstLine="442"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b/>
          <w:bCs/>
          <w:color w:val="0D0D0D" w:themeColor="text1" w:themeTint="F2"/>
          <w:kern w:val="0"/>
          <w:sz w:val="22"/>
          <w:lang w:val="en-US" w:eastAsia="zh-CN"/>
          <w14:textFill>
            <w14:solidFill>
              <w14:schemeClr w14:val="tx1">
                <w14:lumMod w14:val="95000"/>
                <w14:lumOff w14:val="5000"/>
              </w14:schemeClr>
            </w14:solidFill>
          </w14:textFill>
        </w:rPr>
        <w:t>一是强调募集资金使用应专款专用，专注主业，支持实体经济发展。</w:t>
      </w: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第一，对募集资金使用提出总体要求，强调应坚持专款专用，用于主营业务。第二，明确超募资金最终用途应为在建项目及新项目、回购注销，不得用于永久补充流动资金和偿还银行借款。</w:t>
      </w:r>
    </w:p>
    <w:p w14:paraId="14B905C8">
      <w:pPr>
        <w:widowControl/>
        <w:spacing w:line="360" w:lineRule="auto"/>
        <w:ind w:firstLine="442"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b/>
          <w:bCs/>
          <w:color w:val="0D0D0D" w:themeColor="text1" w:themeTint="F2"/>
          <w:kern w:val="0"/>
          <w:sz w:val="22"/>
          <w:lang w:val="en-US" w:eastAsia="zh-CN"/>
          <w14:textFill>
            <w14:solidFill>
              <w14:schemeClr w14:val="tx1">
                <w14:lumMod w14:val="95000"/>
                <w14:lumOff w14:val="5000"/>
              </w14:schemeClr>
            </w14:solidFill>
          </w14:textFill>
        </w:rPr>
        <w:t>二是从严监管募集资金用途改变和使用进度缓慢。</w:t>
      </w: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第一，明确募集资金用途改变的情形，包括取消或者终止原募投项目而实施新项目或者永久补充流动资金，变更募投项目实施主体或实施方式等，在此基础上强调擅自改变募集资金用途适用的罚则。第二，强调控股股东、实际控制人及其他关联人不得占用募集资金，上市公司发现相关情形时应主动进行信息披露，防止变相改变募集资金用途。第三，对于募投项目需要延期实施的，要严格履行审议程序和披露义务。</w:t>
      </w:r>
    </w:p>
    <w:p w14:paraId="494024C8">
      <w:pPr>
        <w:widowControl/>
        <w:spacing w:line="360" w:lineRule="auto"/>
        <w:ind w:firstLine="442"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b/>
          <w:bCs/>
          <w:color w:val="0D0D0D" w:themeColor="text1" w:themeTint="F2"/>
          <w:kern w:val="0"/>
          <w:sz w:val="22"/>
          <w:lang w:val="en-US" w:eastAsia="zh-CN"/>
          <w14:textFill>
            <w14:solidFill>
              <w14:schemeClr w14:val="tx1">
                <w14:lumMod w14:val="95000"/>
                <w14:lumOff w14:val="5000"/>
              </w14:schemeClr>
            </w14:solidFill>
          </w14:textFill>
        </w:rPr>
        <w:t>三是强化募集资金安全性。</w:t>
      </w: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第一，规范现金管理行为，除继续保留安全性高、流动性好、能够保障本金安全、不得质押等要求，还明确了产品期限，规定开展现金管理出现可能损害上市公司和投资者利益情形的，上市公司应当及时披露进展情况和应对措施。第二，对资金账户实施更严格监管，强调进行临时补充流动资金也应通过专项账户实施，开展现金管理应通过募集资金专项账户或者公开披露的产品专用结算账户实施。第三，提升保荐机构持续督导能力，强调上市公司应当积极配合保荐机构持续督导工作和会计师事务所审计工作，及时提供或向银行申请提供相关必要资料，推动专户管理、三方监管制度落到实处。</w:t>
      </w:r>
    </w:p>
    <w:p w14:paraId="5285CDC3">
      <w:pPr>
        <w:widowControl/>
        <w:spacing w:line="360" w:lineRule="auto"/>
        <w:ind w:firstLine="442"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b/>
          <w:bCs/>
          <w:color w:val="0D0D0D" w:themeColor="text1" w:themeTint="F2"/>
          <w:kern w:val="0"/>
          <w:sz w:val="22"/>
          <w:lang w:val="en-US" w:eastAsia="zh-CN"/>
          <w14:textFill>
            <w14:solidFill>
              <w14:schemeClr w14:val="tx1">
                <w14:lumMod w14:val="95000"/>
                <w14:lumOff w14:val="5000"/>
              </w14:schemeClr>
            </w14:solidFill>
          </w14:textFill>
        </w:rPr>
        <w:t>四是提升募集资金使用效率。</w:t>
      </w: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第一，便利上市公司置换资金，上市公司前期投入自筹资金的，应当在募集资金到账后六个月内置换。此后在支付人员薪酬、购买境外产品设备等事项中以募集资金直接支付确有困难的，可以在自筹资金支付后六个月内实施置换。第二，明确募投项目出现市场环境重大变化等情形时的重新评估论证要求，引导公司密切关注募投项目进展，积极推进募投项目建设。</w:t>
      </w:r>
    </w:p>
    <w:p w14:paraId="77CDCA6F">
      <w:pPr>
        <w:widowControl/>
        <w:spacing w:line="360" w:lineRule="auto"/>
        <w:ind w:firstLine="442"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b/>
          <w:bCs/>
          <w:color w:val="0D0D0D" w:themeColor="text1" w:themeTint="F2"/>
          <w:kern w:val="0"/>
          <w:sz w:val="22"/>
          <w:lang w:val="en-US" w:eastAsia="zh-CN"/>
          <w14:textFill>
            <w14:solidFill>
              <w14:schemeClr w14:val="tx1">
                <w14:lumMod w14:val="95000"/>
                <w14:lumOff w14:val="5000"/>
              </w14:schemeClr>
            </w14:solidFill>
          </w14:textFill>
        </w:rPr>
        <w:t>五是督促中介机构履职尽责。</w:t>
      </w: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第一，针对募集资金投资项目发生较大变化的情况，保荐机构应发表意见，说明原因及前期保荐意见的合理性。第二，强化保荐机构持续督导责任，规定保荐机构应及时开展现场核查，发现募集资金存在异常情况的应及时、主动向中国证监会派出机构和证券交易所报告。第三，明确与相关上位法有关法律责任的衔接机制，促进中介机构勤勉尽责。</w:t>
      </w:r>
    </w:p>
    <w:p w14:paraId="58C62030">
      <w:pPr>
        <w:widowControl/>
        <w:spacing w:line="360" w:lineRule="auto"/>
        <w:ind w:firstLine="442"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b/>
          <w:bCs/>
          <w:color w:val="0D0D0D" w:themeColor="text1" w:themeTint="F2"/>
          <w:kern w:val="0"/>
          <w:sz w:val="22"/>
          <w:lang w:val="en-US" w:eastAsia="zh-CN"/>
          <w14:textFill>
            <w14:solidFill>
              <w14:schemeClr w14:val="tx1">
                <w14:lumMod w14:val="95000"/>
                <w14:lumOff w14:val="5000"/>
              </w14:schemeClr>
            </w14:solidFill>
          </w14:textFill>
        </w:rPr>
        <w:t>六是做好与独董制度改革和《公司法》修订的衔接调整。</w:t>
      </w: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由于前期独立董事制度改革中取消了独立董事对募集资金事项发表意见的要求，本次修订也删去了独立董事相关要求。同时适应《公司法》修订精神，相应将“股东大会”的表述调整为“股东会”。</w:t>
      </w:r>
    </w:p>
    <w:p w14:paraId="349DB2C3">
      <w:pPr>
        <w:widowControl/>
        <w:spacing w:line="360" w:lineRule="auto"/>
        <w:ind w:firstLine="440"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三、公开征求意见情况</w:t>
      </w:r>
    </w:p>
    <w:p w14:paraId="521A68D1">
      <w:pPr>
        <w:widowControl/>
        <w:spacing w:line="360" w:lineRule="auto"/>
        <w:ind w:firstLine="440"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2025年1月17日至2025年2月16日，《监管规则》向社会公开征求意见，共收到意见建议31条。总体来看，市场对《监管规则》表示支持，认为有助于推动提高上市公司质量。主要意见及吸收采纳情况如下：</w:t>
      </w:r>
    </w:p>
    <w:p w14:paraId="1E194AE0">
      <w:pPr>
        <w:widowControl/>
        <w:spacing w:line="360" w:lineRule="auto"/>
        <w:ind w:firstLine="442"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b/>
          <w:bCs/>
          <w:color w:val="0D0D0D" w:themeColor="text1" w:themeTint="F2"/>
          <w:kern w:val="0"/>
          <w:sz w:val="22"/>
          <w:lang w:val="en-US" w:eastAsia="zh-CN"/>
          <w14:textFill>
            <w14:solidFill>
              <w14:schemeClr w14:val="tx1">
                <w14:lumMod w14:val="95000"/>
                <w14:lumOff w14:val="5000"/>
              </w14:schemeClr>
            </w14:solidFill>
          </w14:textFill>
        </w:rPr>
        <w:t>一是关于适用范围。</w:t>
      </w: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公开征求意见期间，有意见建议明确本规则是仅适用于发行股票募集的资金，还是适用上市公司全部募集形式（股票、债券等）所募集的资金。经研究，《监管规则》专门作出规定，明确本规则适用于上市公司通过发行股票或者其他具有股权性质的证券（包含可转换公司债券、存托凭证等）募集资金，不包括实施股权激励计划募集的资金，也不包括债券募集的资金。该意见已采纳。</w:t>
      </w:r>
    </w:p>
    <w:p w14:paraId="7EBAFF60">
      <w:pPr>
        <w:widowControl/>
        <w:spacing w:line="360" w:lineRule="auto"/>
        <w:ind w:firstLine="442" w:firstLineChars="200"/>
        <w:jc w:val="left"/>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pPr>
      <w:r>
        <w:rPr>
          <w:rFonts w:hint="eastAsia" w:ascii="宋体" w:hAnsi="宋体" w:cs="Arial"/>
          <w:b/>
          <w:bCs/>
          <w:color w:val="0D0D0D" w:themeColor="text1" w:themeTint="F2"/>
          <w:kern w:val="0"/>
          <w:sz w:val="22"/>
          <w:lang w:val="en-US" w:eastAsia="zh-CN"/>
          <w14:textFill>
            <w14:solidFill>
              <w14:schemeClr w14:val="tx1">
                <w14:lumMod w14:val="95000"/>
                <w14:lumOff w14:val="5000"/>
              </w14:schemeClr>
            </w14:solidFill>
          </w14:textFill>
        </w:rPr>
        <w:t>二是关于超募资金使用。</w:t>
      </w:r>
      <w:r>
        <w:rPr>
          <w:rFonts w:hint="eastAsia" w:ascii="宋体" w:hAnsi="宋体" w:cs="Arial"/>
          <w:color w:val="0D0D0D" w:themeColor="text1" w:themeTint="F2"/>
          <w:kern w:val="0"/>
          <w:sz w:val="22"/>
          <w:lang w:val="en-US" w:eastAsia="zh-CN"/>
          <w14:textFill>
            <w14:solidFill>
              <w14:schemeClr w14:val="tx1">
                <w14:lumMod w14:val="95000"/>
                <w14:lumOff w14:val="5000"/>
              </w14:schemeClr>
            </w14:solidFill>
          </w14:textFill>
        </w:rPr>
        <w:t>公开征求意见期间，有意见建议明确以前超募的资金是否适用新规。考虑到在《监管规则》实施前，上市公司已按照《2号指引》使用取得的超募资金，经研究，《监管规则》实施后发行取得的超募资金，适用新规则；实施前已发行完成取得的超募资金，适用旧规则。该意见已采纳。</w:t>
      </w:r>
    </w:p>
    <w:p w14:paraId="36A4B039">
      <w:pPr>
        <w:pStyle w:val="9"/>
        <w:autoSpaceDE w:val="0"/>
        <w:autoSpaceDN w:val="0"/>
        <w:spacing w:before="0" w:beforeAutospacing="0" w:after="0" w:afterAutospacing="0" w:line="360" w:lineRule="auto"/>
        <w:ind w:firstLine="480"/>
        <w:jc w:val="both"/>
        <w:rPr>
          <w:rFonts w:hint="eastAsia" w:ascii="宋体" w:hAnsi="宋体"/>
          <w:b w:val="0"/>
          <w:bCs/>
          <w:sz w:val="24"/>
        </w:rPr>
      </w:pPr>
    </w:p>
    <w:p w14:paraId="76A28BE9">
      <w:pPr>
        <w:pStyle w:val="9"/>
        <w:autoSpaceDE w:val="0"/>
        <w:autoSpaceDN w:val="0"/>
        <w:spacing w:before="0" w:beforeAutospacing="0" w:after="0" w:afterAutospacing="0" w:line="360" w:lineRule="auto"/>
        <w:ind w:firstLine="480"/>
        <w:jc w:val="both"/>
        <w:rPr>
          <w:rFonts w:hint="eastAsia" w:ascii="宋体" w:hAnsi="宋体"/>
          <w:b w:val="0"/>
          <w:bCs/>
          <w:sz w:val="24"/>
        </w:rPr>
      </w:pPr>
    </w:p>
    <w:p w14:paraId="41DF5156">
      <w:pPr>
        <w:pStyle w:val="9"/>
        <w:autoSpaceDE w:val="0"/>
        <w:autoSpaceDN w:val="0"/>
        <w:spacing w:before="0" w:beforeAutospacing="0" w:after="0" w:afterAutospacing="0" w:line="360" w:lineRule="auto"/>
        <w:jc w:val="both"/>
        <w:rPr>
          <w:rFonts w:hint="default"/>
          <w:b w:val="0"/>
          <w:bCs/>
          <w:sz w:val="24"/>
          <w:lang w:val="en-US" w:eastAsia="zh-CN"/>
        </w:rPr>
      </w:pPr>
      <w:r>
        <w:rPr>
          <w:rFonts w:hint="eastAsia"/>
          <w:b w:val="0"/>
          <w:bCs/>
          <w:sz w:val="24"/>
          <w:lang w:val="en-US" w:eastAsia="zh-CN"/>
        </w:rPr>
        <w:t>来源：中国证监会</w:t>
      </w:r>
    </w:p>
    <w:p w14:paraId="4289EFCF">
      <w:pPr>
        <w:pStyle w:val="9"/>
        <w:autoSpaceDE w:val="0"/>
        <w:autoSpaceDN w:val="0"/>
        <w:spacing w:before="0" w:beforeAutospacing="0" w:after="0" w:afterAutospacing="0" w:line="360" w:lineRule="auto"/>
        <w:jc w:val="both"/>
        <w:rPr>
          <w:rFonts w:hint="default"/>
          <w:b w:val="0"/>
          <w:bCs/>
          <w:sz w:val="24"/>
          <w:lang w:val="en-US" w:eastAsia="zh-CN"/>
        </w:rPr>
      </w:pPr>
      <w:r>
        <w:rPr>
          <w:rFonts w:hint="eastAsia"/>
          <w:b w:val="0"/>
          <w:bCs/>
          <w:sz w:val="24"/>
          <w:lang w:val="en-US" w:eastAsia="zh-CN"/>
        </w:rPr>
        <w:t>链接：</w:t>
      </w:r>
      <w:r>
        <w:rPr>
          <w:rFonts w:hint="eastAsia"/>
          <w:b w:val="0"/>
          <w:bCs/>
          <w:color w:val="auto"/>
          <w:sz w:val="24"/>
          <w:u w:val="none"/>
          <w:lang w:val="en-US" w:eastAsia="zh-CN"/>
        </w:rPr>
        <w:t>http://www.csrc.gov.cn/csrc/c101954/c7557882/content.shtml</w:t>
      </w:r>
    </w:p>
    <w:p w14:paraId="602AEDCC">
      <w:pPr>
        <w:widowControl/>
        <w:jc w:val="left"/>
        <w:rPr>
          <w:rFonts w:hint="eastAsia" w:ascii="simsun,&quot;times new roman&quot;" w:hAnsi="simsun,&quot;times new roman&quot;" w:cs="宋体"/>
          <w:color w:val="000000"/>
          <w:kern w:val="0"/>
          <w:sz w:val="22"/>
        </w:rPr>
      </w:pPr>
    </w:p>
    <w:sectPr>
      <w:headerReference r:id="rId3" w:type="default"/>
      <w:footerReference r:id="rId4" w:type="default"/>
      <w:pgSz w:w="11906" w:h="16838"/>
      <w:pgMar w:top="1440" w:right="1134" w:bottom="1440"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simsun,&quot;times new roman&quo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rPr>
      <w:id w:val="-1513603191"/>
      <w:docPartObj>
        <w:docPartGallery w:val="autotext"/>
      </w:docPartObj>
    </w:sdtPr>
    <w:sdtEndPr>
      <w:rPr>
        <w:rFonts w:asciiTheme="majorEastAsia" w:hAnsiTheme="majorEastAsia" w:eastAsiaTheme="majorEastAsia"/>
      </w:rPr>
    </w:sdtEndPr>
    <w:sdtContent>
      <w:p w14:paraId="19C5CB61">
        <w:pPr>
          <w:pStyle w:val="5"/>
          <w:jc w:val="center"/>
          <w:rPr>
            <w:rFonts w:asciiTheme="majorEastAsia" w:hAnsiTheme="majorEastAsia" w:eastAsiaTheme="majorEastAsia"/>
          </w:rPr>
        </w:pPr>
        <w:r>
          <w:rPr>
            <w:rFonts w:asciiTheme="majorEastAsia" w:hAnsiTheme="majorEastAsia" w:eastAsiaTheme="majorEastAsia"/>
          </w:rPr>
          <w:fldChar w:fldCharType="begin"/>
        </w:r>
        <w:r>
          <w:rPr>
            <w:rFonts w:asciiTheme="majorEastAsia" w:hAnsiTheme="majorEastAsia" w:eastAsiaTheme="majorEastAsia"/>
          </w:rPr>
          <w:instrText xml:space="preserve">PAGE   \* MERGEFORMAT</w:instrText>
        </w:r>
        <w:r>
          <w:rPr>
            <w:rFonts w:asciiTheme="majorEastAsia" w:hAnsiTheme="majorEastAsia" w:eastAsiaTheme="majorEastAsia"/>
          </w:rPr>
          <w:fldChar w:fldCharType="separate"/>
        </w:r>
        <w:r>
          <w:rPr>
            <w:rFonts w:asciiTheme="majorEastAsia" w:hAnsiTheme="majorEastAsia" w:eastAsiaTheme="majorEastAsia"/>
            <w:lang w:val="zh-CN"/>
          </w:rPr>
          <w:t>6</w:t>
        </w:r>
        <w:r>
          <w:rPr>
            <w:rFonts w:asciiTheme="majorEastAsia" w:hAnsiTheme="majorEastAsia" w:eastAsiaTheme="majorEastAsia"/>
          </w:rPr>
          <w:fldChar w:fldCharType="end"/>
        </w:r>
      </w:p>
    </w:sdtContent>
  </w:sdt>
  <w:p w14:paraId="692977FF">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4F39E">
    <w:pPr>
      <w:pStyle w:val="6"/>
      <w:pBdr>
        <w:bottom w:val="none" w:color="auto" w:sz="0" w:space="0"/>
      </w:pBdr>
      <w:rPr>
        <w:rFonts w:asciiTheme="majorEastAsia" w:hAnsiTheme="majorEastAsia" w:eastAsia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NWVkYTQ3MTIwOWJmMTQ5NmI4YmE2ZjhlNzI1ZWMifQ=="/>
  </w:docVars>
  <w:rsids>
    <w:rsidRoot w:val="009D5584"/>
    <w:rsid w:val="00003A5B"/>
    <w:rsid w:val="00003BCC"/>
    <w:rsid w:val="000061F6"/>
    <w:rsid w:val="000067C0"/>
    <w:rsid w:val="00007C36"/>
    <w:rsid w:val="00013FC1"/>
    <w:rsid w:val="000154A4"/>
    <w:rsid w:val="000159E6"/>
    <w:rsid w:val="00017E9C"/>
    <w:rsid w:val="000269F2"/>
    <w:rsid w:val="0002717D"/>
    <w:rsid w:val="00033536"/>
    <w:rsid w:val="00034C53"/>
    <w:rsid w:val="00035509"/>
    <w:rsid w:val="000367DD"/>
    <w:rsid w:val="00036951"/>
    <w:rsid w:val="00043959"/>
    <w:rsid w:val="00043EFD"/>
    <w:rsid w:val="000527B2"/>
    <w:rsid w:val="00052D24"/>
    <w:rsid w:val="00065515"/>
    <w:rsid w:val="00072D93"/>
    <w:rsid w:val="0007750C"/>
    <w:rsid w:val="00083A0C"/>
    <w:rsid w:val="0008409B"/>
    <w:rsid w:val="00086261"/>
    <w:rsid w:val="00086349"/>
    <w:rsid w:val="000A5772"/>
    <w:rsid w:val="000A5A23"/>
    <w:rsid w:val="000B1EE9"/>
    <w:rsid w:val="000B5F3D"/>
    <w:rsid w:val="000B6C8C"/>
    <w:rsid w:val="000C1906"/>
    <w:rsid w:val="000C2B55"/>
    <w:rsid w:val="000C3318"/>
    <w:rsid w:val="000D2CA2"/>
    <w:rsid w:val="000E39BA"/>
    <w:rsid w:val="000E55AD"/>
    <w:rsid w:val="000E7C26"/>
    <w:rsid w:val="000F0969"/>
    <w:rsid w:val="000F10D5"/>
    <w:rsid w:val="000F17D6"/>
    <w:rsid w:val="000F5DAD"/>
    <w:rsid w:val="000F6CBE"/>
    <w:rsid w:val="00102D70"/>
    <w:rsid w:val="001048ED"/>
    <w:rsid w:val="00106083"/>
    <w:rsid w:val="00106BB6"/>
    <w:rsid w:val="001074CB"/>
    <w:rsid w:val="001123A8"/>
    <w:rsid w:val="001175C2"/>
    <w:rsid w:val="00120DDB"/>
    <w:rsid w:val="00120FF0"/>
    <w:rsid w:val="001212EA"/>
    <w:rsid w:val="001220AA"/>
    <w:rsid w:val="001250FB"/>
    <w:rsid w:val="00125DE4"/>
    <w:rsid w:val="00126A2C"/>
    <w:rsid w:val="00127446"/>
    <w:rsid w:val="001403DC"/>
    <w:rsid w:val="00142B70"/>
    <w:rsid w:val="00150CE1"/>
    <w:rsid w:val="001511C7"/>
    <w:rsid w:val="00151B8D"/>
    <w:rsid w:val="0015202B"/>
    <w:rsid w:val="00152428"/>
    <w:rsid w:val="0015289B"/>
    <w:rsid w:val="001615C8"/>
    <w:rsid w:val="00161B9C"/>
    <w:rsid w:val="00162738"/>
    <w:rsid w:val="0016284D"/>
    <w:rsid w:val="00163EA7"/>
    <w:rsid w:val="0016407D"/>
    <w:rsid w:val="001701C2"/>
    <w:rsid w:val="00172FB2"/>
    <w:rsid w:val="00176895"/>
    <w:rsid w:val="00181A58"/>
    <w:rsid w:val="0018442A"/>
    <w:rsid w:val="00184B75"/>
    <w:rsid w:val="001856F4"/>
    <w:rsid w:val="00187271"/>
    <w:rsid w:val="001970B3"/>
    <w:rsid w:val="001A027F"/>
    <w:rsid w:val="001A0D5F"/>
    <w:rsid w:val="001A6806"/>
    <w:rsid w:val="001B5CEC"/>
    <w:rsid w:val="001B76C0"/>
    <w:rsid w:val="001B7DC0"/>
    <w:rsid w:val="001C19B5"/>
    <w:rsid w:val="001C214C"/>
    <w:rsid w:val="001C2CBC"/>
    <w:rsid w:val="001C58BD"/>
    <w:rsid w:val="001C6E4E"/>
    <w:rsid w:val="001D476D"/>
    <w:rsid w:val="001D6A07"/>
    <w:rsid w:val="001D6FBE"/>
    <w:rsid w:val="001E020F"/>
    <w:rsid w:val="001E0C73"/>
    <w:rsid w:val="001E3361"/>
    <w:rsid w:val="001E5A88"/>
    <w:rsid w:val="001E6982"/>
    <w:rsid w:val="00203A6E"/>
    <w:rsid w:val="0020728D"/>
    <w:rsid w:val="0021207C"/>
    <w:rsid w:val="00212934"/>
    <w:rsid w:val="002139EF"/>
    <w:rsid w:val="0022049E"/>
    <w:rsid w:val="00235828"/>
    <w:rsid w:val="00237103"/>
    <w:rsid w:val="002427A0"/>
    <w:rsid w:val="002439A2"/>
    <w:rsid w:val="0025045E"/>
    <w:rsid w:val="00250A27"/>
    <w:rsid w:val="00251185"/>
    <w:rsid w:val="00256AE7"/>
    <w:rsid w:val="002729B1"/>
    <w:rsid w:val="00276E99"/>
    <w:rsid w:val="002808A2"/>
    <w:rsid w:val="00285739"/>
    <w:rsid w:val="002910CA"/>
    <w:rsid w:val="00291497"/>
    <w:rsid w:val="0029317D"/>
    <w:rsid w:val="002950B6"/>
    <w:rsid w:val="002961FC"/>
    <w:rsid w:val="002A392B"/>
    <w:rsid w:val="002B1763"/>
    <w:rsid w:val="002B4D4E"/>
    <w:rsid w:val="002B65DD"/>
    <w:rsid w:val="002C1A2E"/>
    <w:rsid w:val="002C2BCE"/>
    <w:rsid w:val="002C354E"/>
    <w:rsid w:val="002C503B"/>
    <w:rsid w:val="002C7526"/>
    <w:rsid w:val="002C7D91"/>
    <w:rsid w:val="002D7774"/>
    <w:rsid w:val="002E2B9C"/>
    <w:rsid w:val="002E309F"/>
    <w:rsid w:val="002E31F8"/>
    <w:rsid w:val="002E5CAF"/>
    <w:rsid w:val="002F47D4"/>
    <w:rsid w:val="002F5B0F"/>
    <w:rsid w:val="00302761"/>
    <w:rsid w:val="00302AFA"/>
    <w:rsid w:val="00310D8C"/>
    <w:rsid w:val="00317691"/>
    <w:rsid w:val="00324973"/>
    <w:rsid w:val="00336EBD"/>
    <w:rsid w:val="00347FC0"/>
    <w:rsid w:val="003535B1"/>
    <w:rsid w:val="00354FD0"/>
    <w:rsid w:val="0036184A"/>
    <w:rsid w:val="00361990"/>
    <w:rsid w:val="00370436"/>
    <w:rsid w:val="00376B81"/>
    <w:rsid w:val="00380CD0"/>
    <w:rsid w:val="00381CA3"/>
    <w:rsid w:val="003821B3"/>
    <w:rsid w:val="00386CFF"/>
    <w:rsid w:val="00396F85"/>
    <w:rsid w:val="003A33B8"/>
    <w:rsid w:val="003A42A8"/>
    <w:rsid w:val="003A685A"/>
    <w:rsid w:val="003B5D4A"/>
    <w:rsid w:val="003C1628"/>
    <w:rsid w:val="003C2049"/>
    <w:rsid w:val="003C4A97"/>
    <w:rsid w:val="003C4F08"/>
    <w:rsid w:val="003C51CF"/>
    <w:rsid w:val="003D211C"/>
    <w:rsid w:val="003D31F9"/>
    <w:rsid w:val="003D4A8B"/>
    <w:rsid w:val="003E03CC"/>
    <w:rsid w:val="003E0FB8"/>
    <w:rsid w:val="003E311C"/>
    <w:rsid w:val="003E7144"/>
    <w:rsid w:val="003F0065"/>
    <w:rsid w:val="003F0561"/>
    <w:rsid w:val="003F64C6"/>
    <w:rsid w:val="004006D5"/>
    <w:rsid w:val="004079F3"/>
    <w:rsid w:val="00412B0C"/>
    <w:rsid w:val="00413558"/>
    <w:rsid w:val="004159CF"/>
    <w:rsid w:val="004221B2"/>
    <w:rsid w:val="004241F6"/>
    <w:rsid w:val="0042678D"/>
    <w:rsid w:val="00432780"/>
    <w:rsid w:val="004363C7"/>
    <w:rsid w:val="0045198E"/>
    <w:rsid w:val="0045225F"/>
    <w:rsid w:val="00462EA0"/>
    <w:rsid w:val="0046303B"/>
    <w:rsid w:val="00464604"/>
    <w:rsid w:val="00466568"/>
    <w:rsid w:val="00466CD3"/>
    <w:rsid w:val="00470A62"/>
    <w:rsid w:val="00480345"/>
    <w:rsid w:val="0048283D"/>
    <w:rsid w:val="004828B0"/>
    <w:rsid w:val="00485DBB"/>
    <w:rsid w:val="004949AC"/>
    <w:rsid w:val="00495BFD"/>
    <w:rsid w:val="00495E9A"/>
    <w:rsid w:val="00496621"/>
    <w:rsid w:val="00497D4E"/>
    <w:rsid w:val="004A7CD1"/>
    <w:rsid w:val="004B688D"/>
    <w:rsid w:val="004C2F45"/>
    <w:rsid w:val="004C3CA0"/>
    <w:rsid w:val="004C74D3"/>
    <w:rsid w:val="004D50E9"/>
    <w:rsid w:val="004D5666"/>
    <w:rsid w:val="004E067D"/>
    <w:rsid w:val="004E2CDB"/>
    <w:rsid w:val="004E76E5"/>
    <w:rsid w:val="004F1EE9"/>
    <w:rsid w:val="00500AB9"/>
    <w:rsid w:val="00500C04"/>
    <w:rsid w:val="0051048A"/>
    <w:rsid w:val="005117E5"/>
    <w:rsid w:val="00512F4D"/>
    <w:rsid w:val="00514A58"/>
    <w:rsid w:val="00517E1D"/>
    <w:rsid w:val="00527013"/>
    <w:rsid w:val="005314FE"/>
    <w:rsid w:val="005326B1"/>
    <w:rsid w:val="00533AB2"/>
    <w:rsid w:val="005370AD"/>
    <w:rsid w:val="005370FA"/>
    <w:rsid w:val="00545F7B"/>
    <w:rsid w:val="00546C11"/>
    <w:rsid w:val="00546F2C"/>
    <w:rsid w:val="00550BA1"/>
    <w:rsid w:val="005517E1"/>
    <w:rsid w:val="00551D27"/>
    <w:rsid w:val="00555A78"/>
    <w:rsid w:val="00557AB6"/>
    <w:rsid w:val="005649C1"/>
    <w:rsid w:val="00571BF5"/>
    <w:rsid w:val="00573970"/>
    <w:rsid w:val="005960AF"/>
    <w:rsid w:val="00597449"/>
    <w:rsid w:val="005A07ED"/>
    <w:rsid w:val="005A13C0"/>
    <w:rsid w:val="005A5911"/>
    <w:rsid w:val="005A7055"/>
    <w:rsid w:val="005A767C"/>
    <w:rsid w:val="005B08DA"/>
    <w:rsid w:val="005B1B18"/>
    <w:rsid w:val="005B6855"/>
    <w:rsid w:val="005C1DA3"/>
    <w:rsid w:val="005C2BCC"/>
    <w:rsid w:val="005C2BDC"/>
    <w:rsid w:val="005C59F0"/>
    <w:rsid w:val="005C5E09"/>
    <w:rsid w:val="005D2836"/>
    <w:rsid w:val="005D555D"/>
    <w:rsid w:val="005E0CE0"/>
    <w:rsid w:val="005E4913"/>
    <w:rsid w:val="005E4A26"/>
    <w:rsid w:val="005E4FCE"/>
    <w:rsid w:val="005E555B"/>
    <w:rsid w:val="005E6107"/>
    <w:rsid w:val="005F16DE"/>
    <w:rsid w:val="005F21A2"/>
    <w:rsid w:val="00600BB4"/>
    <w:rsid w:val="00607E35"/>
    <w:rsid w:val="00613776"/>
    <w:rsid w:val="00615252"/>
    <w:rsid w:val="006204EE"/>
    <w:rsid w:val="00624C39"/>
    <w:rsid w:val="00625B45"/>
    <w:rsid w:val="0062605E"/>
    <w:rsid w:val="00627ABC"/>
    <w:rsid w:val="006320E8"/>
    <w:rsid w:val="00644D59"/>
    <w:rsid w:val="00647467"/>
    <w:rsid w:val="00647856"/>
    <w:rsid w:val="0065044D"/>
    <w:rsid w:val="0065209E"/>
    <w:rsid w:val="00655504"/>
    <w:rsid w:val="0066000F"/>
    <w:rsid w:val="006653CB"/>
    <w:rsid w:val="006708EF"/>
    <w:rsid w:val="00670F2E"/>
    <w:rsid w:val="0067178A"/>
    <w:rsid w:val="00674AFF"/>
    <w:rsid w:val="00676580"/>
    <w:rsid w:val="00676F01"/>
    <w:rsid w:val="00682DD7"/>
    <w:rsid w:val="00686F67"/>
    <w:rsid w:val="006906CD"/>
    <w:rsid w:val="00691C7F"/>
    <w:rsid w:val="006925CE"/>
    <w:rsid w:val="00692F62"/>
    <w:rsid w:val="006966B5"/>
    <w:rsid w:val="006978EC"/>
    <w:rsid w:val="006B0D1A"/>
    <w:rsid w:val="006B113C"/>
    <w:rsid w:val="006C2A96"/>
    <w:rsid w:val="006C39D3"/>
    <w:rsid w:val="006C4BC0"/>
    <w:rsid w:val="006C5ADA"/>
    <w:rsid w:val="006D0C2E"/>
    <w:rsid w:val="006D4B3F"/>
    <w:rsid w:val="006D6CCB"/>
    <w:rsid w:val="006E5BA3"/>
    <w:rsid w:val="00701B99"/>
    <w:rsid w:val="00702DA9"/>
    <w:rsid w:val="007236FE"/>
    <w:rsid w:val="0073015F"/>
    <w:rsid w:val="00731516"/>
    <w:rsid w:val="00732A52"/>
    <w:rsid w:val="00743AF1"/>
    <w:rsid w:val="00745BF0"/>
    <w:rsid w:val="00751019"/>
    <w:rsid w:val="00756B7E"/>
    <w:rsid w:val="0076690A"/>
    <w:rsid w:val="00775194"/>
    <w:rsid w:val="007834CC"/>
    <w:rsid w:val="0079126B"/>
    <w:rsid w:val="007934CD"/>
    <w:rsid w:val="0079709C"/>
    <w:rsid w:val="007971D1"/>
    <w:rsid w:val="007A2EED"/>
    <w:rsid w:val="007A3D46"/>
    <w:rsid w:val="007C6AE8"/>
    <w:rsid w:val="007D1828"/>
    <w:rsid w:val="007D4FF6"/>
    <w:rsid w:val="007D51EB"/>
    <w:rsid w:val="007D586B"/>
    <w:rsid w:val="007D67CB"/>
    <w:rsid w:val="007E2BE1"/>
    <w:rsid w:val="007E4037"/>
    <w:rsid w:val="007E5FEB"/>
    <w:rsid w:val="007F3EE3"/>
    <w:rsid w:val="007F416E"/>
    <w:rsid w:val="007F7840"/>
    <w:rsid w:val="00802E41"/>
    <w:rsid w:val="008031E9"/>
    <w:rsid w:val="008039CB"/>
    <w:rsid w:val="0080596A"/>
    <w:rsid w:val="00807CAF"/>
    <w:rsid w:val="00812689"/>
    <w:rsid w:val="00814823"/>
    <w:rsid w:val="008160CC"/>
    <w:rsid w:val="00816FCA"/>
    <w:rsid w:val="008177C6"/>
    <w:rsid w:val="00832B08"/>
    <w:rsid w:val="00843BF9"/>
    <w:rsid w:val="00843E58"/>
    <w:rsid w:val="008448F6"/>
    <w:rsid w:val="008471E3"/>
    <w:rsid w:val="008557BD"/>
    <w:rsid w:val="0085701D"/>
    <w:rsid w:val="008573FE"/>
    <w:rsid w:val="00857D81"/>
    <w:rsid w:val="00860CBB"/>
    <w:rsid w:val="00861BF3"/>
    <w:rsid w:val="00862972"/>
    <w:rsid w:val="00863FC2"/>
    <w:rsid w:val="008654ED"/>
    <w:rsid w:val="00871037"/>
    <w:rsid w:val="0087242A"/>
    <w:rsid w:val="0087277E"/>
    <w:rsid w:val="00872B9B"/>
    <w:rsid w:val="008759E7"/>
    <w:rsid w:val="00885676"/>
    <w:rsid w:val="008909F8"/>
    <w:rsid w:val="008957BD"/>
    <w:rsid w:val="008A6CEF"/>
    <w:rsid w:val="008B0897"/>
    <w:rsid w:val="008B10F4"/>
    <w:rsid w:val="008B64FE"/>
    <w:rsid w:val="008B666C"/>
    <w:rsid w:val="008C04C8"/>
    <w:rsid w:val="008D0F4D"/>
    <w:rsid w:val="008D16C1"/>
    <w:rsid w:val="008E0672"/>
    <w:rsid w:val="008E0F77"/>
    <w:rsid w:val="008E1329"/>
    <w:rsid w:val="008E35A2"/>
    <w:rsid w:val="008E6028"/>
    <w:rsid w:val="008E7747"/>
    <w:rsid w:val="008F16E7"/>
    <w:rsid w:val="008F4512"/>
    <w:rsid w:val="009023F4"/>
    <w:rsid w:val="0090336A"/>
    <w:rsid w:val="009066A2"/>
    <w:rsid w:val="00911B5D"/>
    <w:rsid w:val="0091533D"/>
    <w:rsid w:val="00916135"/>
    <w:rsid w:val="00920FE2"/>
    <w:rsid w:val="009210F1"/>
    <w:rsid w:val="00921CF7"/>
    <w:rsid w:val="00922B10"/>
    <w:rsid w:val="00923C59"/>
    <w:rsid w:val="009311E5"/>
    <w:rsid w:val="00934BCC"/>
    <w:rsid w:val="0093516C"/>
    <w:rsid w:val="009376E7"/>
    <w:rsid w:val="00937994"/>
    <w:rsid w:val="0094145F"/>
    <w:rsid w:val="009448D7"/>
    <w:rsid w:val="00944E0A"/>
    <w:rsid w:val="009456D4"/>
    <w:rsid w:val="00947575"/>
    <w:rsid w:val="00953245"/>
    <w:rsid w:val="00953516"/>
    <w:rsid w:val="009538E2"/>
    <w:rsid w:val="00954A5A"/>
    <w:rsid w:val="009555EE"/>
    <w:rsid w:val="00960374"/>
    <w:rsid w:val="009620D2"/>
    <w:rsid w:val="0096448A"/>
    <w:rsid w:val="00967E46"/>
    <w:rsid w:val="009705D5"/>
    <w:rsid w:val="00972289"/>
    <w:rsid w:val="00973E57"/>
    <w:rsid w:val="00977FEE"/>
    <w:rsid w:val="00982B71"/>
    <w:rsid w:val="009833A1"/>
    <w:rsid w:val="009916E3"/>
    <w:rsid w:val="009948F5"/>
    <w:rsid w:val="009A3A27"/>
    <w:rsid w:val="009B0607"/>
    <w:rsid w:val="009B75EB"/>
    <w:rsid w:val="009D5584"/>
    <w:rsid w:val="009E4BB7"/>
    <w:rsid w:val="009F0B82"/>
    <w:rsid w:val="009F34A7"/>
    <w:rsid w:val="009F6952"/>
    <w:rsid w:val="00A019E5"/>
    <w:rsid w:val="00A03B33"/>
    <w:rsid w:val="00A053D9"/>
    <w:rsid w:val="00A05D7C"/>
    <w:rsid w:val="00A06CDB"/>
    <w:rsid w:val="00A06F32"/>
    <w:rsid w:val="00A15452"/>
    <w:rsid w:val="00A2399F"/>
    <w:rsid w:val="00A274B5"/>
    <w:rsid w:val="00A344FB"/>
    <w:rsid w:val="00A34E9D"/>
    <w:rsid w:val="00A358F6"/>
    <w:rsid w:val="00A374DA"/>
    <w:rsid w:val="00A376E0"/>
    <w:rsid w:val="00A403D5"/>
    <w:rsid w:val="00A441EE"/>
    <w:rsid w:val="00A4750B"/>
    <w:rsid w:val="00A5019C"/>
    <w:rsid w:val="00A61A79"/>
    <w:rsid w:val="00A63990"/>
    <w:rsid w:val="00A826A1"/>
    <w:rsid w:val="00A82CF9"/>
    <w:rsid w:val="00A843DE"/>
    <w:rsid w:val="00A87756"/>
    <w:rsid w:val="00A921E7"/>
    <w:rsid w:val="00A9519E"/>
    <w:rsid w:val="00AA06D4"/>
    <w:rsid w:val="00AA1E5D"/>
    <w:rsid w:val="00AA2AC0"/>
    <w:rsid w:val="00AA3C94"/>
    <w:rsid w:val="00AA5934"/>
    <w:rsid w:val="00AA5A55"/>
    <w:rsid w:val="00AA6B66"/>
    <w:rsid w:val="00AB0B35"/>
    <w:rsid w:val="00AB6BF2"/>
    <w:rsid w:val="00AE3F53"/>
    <w:rsid w:val="00AE5A95"/>
    <w:rsid w:val="00AF1D26"/>
    <w:rsid w:val="00AF3C9E"/>
    <w:rsid w:val="00AF3F2F"/>
    <w:rsid w:val="00AF4D02"/>
    <w:rsid w:val="00AF7E0A"/>
    <w:rsid w:val="00B021C5"/>
    <w:rsid w:val="00B02EF0"/>
    <w:rsid w:val="00B039DC"/>
    <w:rsid w:val="00B04C2A"/>
    <w:rsid w:val="00B06B0E"/>
    <w:rsid w:val="00B137F3"/>
    <w:rsid w:val="00B20812"/>
    <w:rsid w:val="00B24149"/>
    <w:rsid w:val="00B2464F"/>
    <w:rsid w:val="00B26A0B"/>
    <w:rsid w:val="00B271E0"/>
    <w:rsid w:val="00B2747D"/>
    <w:rsid w:val="00B32ABB"/>
    <w:rsid w:val="00B357B4"/>
    <w:rsid w:val="00B43D1F"/>
    <w:rsid w:val="00B51589"/>
    <w:rsid w:val="00B5270C"/>
    <w:rsid w:val="00B52C1D"/>
    <w:rsid w:val="00B5461C"/>
    <w:rsid w:val="00B5464E"/>
    <w:rsid w:val="00B55606"/>
    <w:rsid w:val="00B61CA6"/>
    <w:rsid w:val="00B72E2D"/>
    <w:rsid w:val="00B744C7"/>
    <w:rsid w:val="00B75792"/>
    <w:rsid w:val="00B84A60"/>
    <w:rsid w:val="00B87226"/>
    <w:rsid w:val="00B87ABE"/>
    <w:rsid w:val="00B917D6"/>
    <w:rsid w:val="00B93BE8"/>
    <w:rsid w:val="00BA237D"/>
    <w:rsid w:val="00BA3448"/>
    <w:rsid w:val="00BA7CD7"/>
    <w:rsid w:val="00BB2AF7"/>
    <w:rsid w:val="00BB6379"/>
    <w:rsid w:val="00BB6CA2"/>
    <w:rsid w:val="00BB7E97"/>
    <w:rsid w:val="00BC0499"/>
    <w:rsid w:val="00BC161A"/>
    <w:rsid w:val="00BC1996"/>
    <w:rsid w:val="00BC1C3B"/>
    <w:rsid w:val="00BC1DFF"/>
    <w:rsid w:val="00BC33FC"/>
    <w:rsid w:val="00BC5274"/>
    <w:rsid w:val="00BC768B"/>
    <w:rsid w:val="00BD3375"/>
    <w:rsid w:val="00BD37AA"/>
    <w:rsid w:val="00BD7A4C"/>
    <w:rsid w:val="00BE15AD"/>
    <w:rsid w:val="00BE1BA6"/>
    <w:rsid w:val="00BE458B"/>
    <w:rsid w:val="00BF0114"/>
    <w:rsid w:val="00C03E20"/>
    <w:rsid w:val="00C10E58"/>
    <w:rsid w:val="00C10F60"/>
    <w:rsid w:val="00C310A1"/>
    <w:rsid w:val="00C3382A"/>
    <w:rsid w:val="00C358A4"/>
    <w:rsid w:val="00C35CB7"/>
    <w:rsid w:val="00C40027"/>
    <w:rsid w:val="00C41A76"/>
    <w:rsid w:val="00C43C99"/>
    <w:rsid w:val="00C46056"/>
    <w:rsid w:val="00C55E87"/>
    <w:rsid w:val="00C57F7D"/>
    <w:rsid w:val="00C6552E"/>
    <w:rsid w:val="00C66BF0"/>
    <w:rsid w:val="00C70C24"/>
    <w:rsid w:val="00C74419"/>
    <w:rsid w:val="00C74D0C"/>
    <w:rsid w:val="00C7682E"/>
    <w:rsid w:val="00C818E6"/>
    <w:rsid w:val="00C82837"/>
    <w:rsid w:val="00C85D2D"/>
    <w:rsid w:val="00C8652B"/>
    <w:rsid w:val="00C91307"/>
    <w:rsid w:val="00C93CF5"/>
    <w:rsid w:val="00C93E31"/>
    <w:rsid w:val="00C93ED7"/>
    <w:rsid w:val="00C94347"/>
    <w:rsid w:val="00C95694"/>
    <w:rsid w:val="00CA4B32"/>
    <w:rsid w:val="00CA54DA"/>
    <w:rsid w:val="00CB0086"/>
    <w:rsid w:val="00CB4D1A"/>
    <w:rsid w:val="00CC4D49"/>
    <w:rsid w:val="00CC510E"/>
    <w:rsid w:val="00CC73A1"/>
    <w:rsid w:val="00CC7F49"/>
    <w:rsid w:val="00CD0EDD"/>
    <w:rsid w:val="00CD2688"/>
    <w:rsid w:val="00CD45D6"/>
    <w:rsid w:val="00CE00B0"/>
    <w:rsid w:val="00CE0C80"/>
    <w:rsid w:val="00CE1765"/>
    <w:rsid w:val="00CE5C57"/>
    <w:rsid w:val="00CF0176"/>
    <w:rsid w:val="00D01002"/>
    <w:rsid w:val="00D01080"/>
    <w:rsid w:val="00D01DB4"/>
    <w:rsid w:val="00D02E1C"/>
    <w:rsid w:val="00D03612"/>
    <w:rsid w:val="00D04ECE"/>
    <w:rsid w:val="00D070B5"/>
    <w:rsid w:val="00D07122"/>
    <w:rsid w:val="00D07F9F"/>
    <w:rsid w:val="00D11ED9"/>
    <w:rsid w:val="00D14CCB"/>
    <w:rsid w:val="00D17C4E"/>
    <w:rsid w:val="00D21053"/>
    <w:rsid w:val="00D211B5"/>
    <w:rsid w:val="00D215DC"/>
    <w:rsid w:val="00D27393"/>
    <w:rsid w:val="00D35D65"/>
    <w:rsid w:val="00D3774E"/>
    <w:rsid w:val="00D414A1"/>
    <w:rsid w:val="00D42241"/>
    <w:rsid w:val="00D439C6"/>
    <w:rsid w:val="00D53A30"/>
    <w:rsid w:val="00D541BD"/>
    <w:rsid w:val="00D55BE7"/>
    <w:rsid w:val="00D565E8"/>
    <w:rsid w:val="00D63D28"/>
    <w:rsid w:val="00D6459A"/>
    <w:rsid w:val="00D7046B"/>
    <w:rsid w:val="00D726AE"/>
    <w:rsid w:val="00D7312F"/>
    <w:rsid w:val="00D76009"/>
    <w:rsid w:val="00D76E49"/>
    <w:rsid w:val="00D779AF"/>
    <w:rsid w:val="00D916AA"/>
    <w:rsid w:val="00D920B9"/>
    <w:rsid w:val="00D9221F"/>
    <w:rsid w:val="00D963BA"/>
    <w:rsid w:val="00DA17F7"/>
    <w:rsid w:val="00DA5199"/>
    <w:rsid w:val="00DB106E"/>
    <w:rsid w:val="00DB4CBB"/>
    <w:rsid w:val="00DC0E19"/>
    <w:rsid w:val="00DC1489"/>
    <w:rsid w:val="00DC7641"/>
    <w:rsid w:val="00DD3F1B"/>
    <w:rsid w:val="00DD4C02"/>
    <w:rsid w:val="00DE0FAB"/>
    <w:rsid w:val="00DE2047"/>
    <w:rsid w:val="00DE3705"/>
    <w:rsid w:val="00DE3BD1"/>
    <w:rsid w:val="00DE44DC"/>
    <w:rsid w:val="00DE4A4A"/>
    <w:rsid w:val="00DE7911"/>
    <w:rsid w:val="00DF24D4"/>
    <w:rsid w:val="00DF2993"/>
    <w:rsid w:val="00DF2C24"/>
    <w:rsid w:val="00DF3FCE"/>
    <w:rsid w:val="00DF5151"/>
    <w:rsid w:val="00DF567D"/>
    <w:rsid w:val="00DF6CDE"/>
    <w:rsid w:val="00E01783"/>
    <w:rsid w:val="00E017F5"/>
    <w:rsid w:val="00E05B8B"/>
    <w:rsid w:val="00E05CAE"/>
    <w:rsid w:val="00E113D7"/>
    <w:rsid w:val="00E14A30"/>
    <w:rsid w:val="00E1565A"/>
    <w:rsid w:val="00E215CF"/>
    <w:rsid w:val="00E2314E"/>
    <w:rsid w:val="00E2334E"/>
    <w:rsid w:val="00E273E3"/>
    <w:rsid w:val="00E2749A"/>
    <w:rsid w:val="00E27FFE"/>
    <w:rsid w:val="00E421B2"/>
    <w:rsid w:val="00E45A59"/>
    <w:rsid w:val="00E463A2"/>
    <w:rsid w:val="00E516D1"/>
    <w:rsid w:val="00E52F81"/>
    <w:rsid w:val="00E530AB"/>
    <w:rsid w:val="00E6067E"/>
    <w:rsid w:val="00E6698C"/>
    <w:rsid w:val="00E729F1"/>
    <w:rsid w:val="00E77F57"/>
    <w:rsid w:val="00E85719"/>
    <w:rsid w:val="00E87EEC"/>
    <w:rsid w:val="00E903AE"/>
    <w:rsid w:val="00E90CCB"/>
    <w:rsid w:val="00E91166"/>
    <w:rsid w:val="00EA09AA"/>
    <w:rsid w:val="00EA2ACE"/>
    <w:rsid w:val="00EA7677"/>
    <w:rsid w:val="00EA7C90"/>
    <w:rsid w:val="00EB2724"/>
    <w:rsid w:val="00EB4494"/>
    <w:rsid w:val="00EB5527"/>
    <w:rsid w:val="00EB5AF4"/>
    <w:rsid w:val="00EB5CD2"/>
    <w:rsid w:val="00EC2234"/>
    <w:rsid w:val="00ED2B3D"/>
    <w:rsid w:val="00ED2D0D"/>
    <w:rsid w:val="00ED3743"/>
    <w:rsid w:val="00ED47A9"/>
    <w:rsid w:val="00ED6484"/>
    <w:rsid w:val="00EE0AB1"/>
    <w:rsid w:val="00EE194F"/>
    <w:rsid w:val="00EE1DC7"/>
    <w:rsid w:val="00EE2525"/>
    <w:rsid w:val="00EE3BA8"/>
    <w:rsid w:val="00EE4E31"/>
    <w:rsid w:val="00EE6248"/>
    <w:rsid w:val="00EE79F8"/>
    <w:rsid w:val="00EF4DD5"/>
    <w:rsid w:val="00EF5045"/>
    <w:rsid w:val="00EF5870"/>
    <w:rsid w:val="00F00075"/>
    <w:rsid w:val="00F01C3F"/>
    <w:rsid w:val="00F021EE"/>
    <w:rsid w:val="00F02E69"/>
    <w:rsid w:val="00F1341B"/>
    <w:rsid w:val="00F14713"/>
    <w:rsid w:val="00F17907"/>
    <w:rsid w:val="00F244FC"/>
    <w:rsid w:val="00F25E65"/>
    <w:rsid w:val="00F3339A"/>
    <w:rsid w:val="00F35B14"/>
    <w:rsid w:val="00F40622"/>
    <w:rsid w:val="00F41785"/>
    <w:rsid w:val="00F612B2"/>
    <w:rsid w:val="00F64ED1"/>
    <w:rsid w:val="00F658B8"/>
    <w:rsid w:val="00F70D02"/>
    <w:rsid w:val="00F7425D"/>
    <w:rsid w:val="00F75655"/>
    <w:rsid w:val="00F8023E"/>
    <w:rsid w:val="00F821A5"/>
    <w:rsid w:val="00F83E36"/>
    <w:rsid w:val="00F8561C"/>
    <w:rsid w:val="00F85E22"/>
    <w:rsid w:val="00F8780C"/>
    <w:rsid w:val="00F90C90"/>
    <w:rsid w:val="00F94700"/>
    <w:rsid w:val="00F95445"/>
    <w:rsid w:val="00F96BEC"/>
    <w:rsid w:val="00F97AE1"/>
    <w:rsid w:val="00FA05B0"/>
    <w:rsid w:val="00FA2E12"/>
    <w:rsid w:val="00FA615E"/>
    <w:rsid w:val="00FB0311"/>
    <w:rsid w:val="00FB2C57"/>
    <w:rsid w:val="00FB51DC"/>
    <w:rsid w:val="00FB5609"/>
    <w:rsid w:val="00FC1F62"/>
    <w:rsid w:val="00FC2303"/>
    <w:rsid w:val="00FC425F"/>
    <w:rsid w:val="00FC62B2"/>
    <w:rsid w:val="00FD0A45"/>
    <w:rsid w:val="00FD78C8"/>
    <w:rsid w:val="00FE5DF1"/>
    <w:rsid w:val="00FE6C2A"/>
    <w:rsid w:val="00FF2C3D"/>
    <w:rsid w:val="00FF2ED6"/>
    <w:rsid w:val="00FF3051"/>
    <w:rsid w:val="00FF41C6"/>
    <w:rsid w:val="00FF448F"/>
    <w:rsid w:val="00FF7496"/>
    <w:rsid w:val="039C2E56"/>
    <w:rsid w:val="0D7A69A3"/>
    <w:rsid w:val="173E1AC4"/>
    <w:rsid w:val="1D155CE4"/>
    <w:rsid w:val="21676C37"/>
    <w:rsid w:val="27E1215F"/>
    <w:rsid w:val="2BF235A7"/>
    <w:rsid w:val="36272171"/>
    <w:rsid w:val="3E4E3201"/>
    <w:rsid w:val="3E670F80"/>
    <w:rsid w:val="412A4DA5"/>
    <w:rsid w:val="483B2A48"/>
    <w:rsid w:val="590335ED"/>
    <w:rsid w:val="60465003"/>
    <w:rsid w:val="69C82E69"/>
    <w:rsid w:val="6CC505D8"/>
    <w:rsid w:val="79AE6327"/>
    <w:rsid w:val="7C1316F8"/>
    <w:rsid w:val="7F3D1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25"/>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21"/>
    <w:semiHidden/>
    <w:unhideWhenUsed/>
    <w:qFormat/>
    <w:uiPriority w:val="99"/>
    <w:pPr>
      <w:ind w:left="100" w:leftChars="2500"/>
    </w:pPr>
  </w:style>
  <w:style w:type="paragraph" w:styleId="4">
    <w:name w:val="Balloon Text"/>
    <w:basedOn w:val="1"/>
    <w:link w:val="20"/>
    <w:semiHidden/>
    <w:unhideWhenUsed/>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footnote text"/>
    <w:basedOn w:val="1"/>
    <w:link w:val="28"/>
    <w:unhideWhenUsed/>
    <w:qFormat/>
    <w:uiPriority w:val="0"/>
    <w:pPr>
      <w:snapToGrid w:val="0"/>
      <w:spacing w:before="40" w:after="40"/>
      <w:jc w:val="left"/>
    </w:pPr>
    <w:rPr>
      <w:sz w:val="18"/>
      <w:szCs w:val="18"/>
    </w:rPr>
  </w:style>
  <w:style w:type="paragraph" w:styleId="8">
    <w:name w:val="HTML Preformatted"/>
    <w:basedOn w:val="1"/>
    <w:link w:val="2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styleId="14">
    <w:name w:val="footnote reference"/>
    <w:basedOn w:val="12"/>
    <w:unhideWhenUsed/>
    <w:qFormat/>
    <w:uiPriority w:val="0"/>
    <w:rPr>
      <w:vertAlign w:val="superscript"/>
    </w:rPr>
  </w:style>
  <w:style w:type="character" w:customStyle="1" w:styleId="15">
    <w:name w:val="页眉 字符"/>
    <w:link w:val="6"/>
    <w:qFormat/>
    <w:uiPriority w:val="0"/>
    <w:rPr>
      <w:sz w:val="18"/>
      <w:szCs w:val="18"/>
    </w:rPr>
  </w:style>
  <w:style w:type="character" w:customStyle="1" w:styleId="16">
    <w:name w:val="页脚 字符"/>
    <w:link w:val="5"/>
    <w:qFormat/>
    <w:uiPriority w:val="99"/>
    <w:rPr>
      <w:sz w:val="18"/>
      <w:szCs w:val="18"/>
    </w:rPr>
  </w:style>
  <w:style w:type="character" w:customStyle="1" w:styleId="17">
    <w:name w:val="页眉 Char1"/>
    <w:basedOn w:val="12"/>
    <w:semiHidden/>
    <w:qFormat/>
    <w:uiPriority w:val="99"/>
    <w:rPr>
      <w:rFonts w:ascii="Times New Roman" w:hAnsi="Times New Roman" w:eastAsia="宋体" w:cs="Times New Roman"/>
      <w:sz w:val="18"/>
      <w:szCs w:val="18"/>
    </w:rPr>
  </w:style>
  <w:style w:type="character" w:customStyle="1" w:styleId="18">
    <w:name w:val="页脚 Char1"/>
    <w:basedOn w:val="12"/>
    <w:semiHidden/>
    <w:qFormat/>
    <w:uiPriority w:val="99"/>
    <w:rPr>
      <w:rFonts w:ascii="Times New Roman" w:hAnsi="Times New Roman" w:eastAsia="宋体" w:cs="Times New Roman"/>
      <w:sz w:val="18"/>
      <w:szCs w:val="18"/>
    </w:rPr>
  </w:style>
  <w:style w:type="paragraph" w:styleId="19">
    <w:name w:val="List Paragraph"/>
    <w:basedOn w:val="1"/>
    <w:qFormat/>
    <w:uiPriority w:val="99"/>
    <w:pPr>
      <w:ind w:firstLine="420" w:firstLineChars="200"/>
    </w:pPr>
    <w:rPr>
      <w:rFonts w:ascii="Calibri" w:hAnsi="Calibri" w:cs="黑体"/>
      <w:szCs w:val="22"/>
    </w:rPr>
  </w:style>
  <w:style w:type="character" w:customStyle="1" w:styleId="20">
    <w:name w:val="批注框文本 字符"/>
    <w:basedOn w:val="12"/>
    <w:link w:val="4"/>
    <w:semiHidden/>
    <w:qFormat/>
    <w:uiPriority w:val="99"/>
    <w:rPr>
      <w:rFonts w:ascii="Times New Roman" w:hAnsi="Times New Roman" w:eastAsia="宋体" w:cs="Times New Roman"/>
      <w:sz w:val="18"/>
      <w:szCs w:val="18"/>
    </w:rPr>
  </w:style>
  <w:style w:type="character" w:customStyle="1" w:styleId="21">
    <w:name w:val="日期 字符"/>
    <w:basedOn w:val="12"/>
    <w:link w:val="3"/>
    <w:semiHidden/>
    <w:qFormat/>
    <w:uiPriority w:val="99"/>
    <w:rPr>
      <w:rFonts w:ascii="Times New Roman" w:hAnsi="Times New Roman" w:eastAsia="宋体" w:cs="Times New Roman"/>
      <w:szCs w:val="24"/>
    </w:rPr>
  </w:style>
  <w:style w:type="character" w:customStyle="1" w:styleId="22">
    <w:name w:val="markedcontent"/>
    <w:basedOn w:val="12"/>
    <w:qFormat/>
    <w:uiPriority w:val="0"/>
  </w:style>
  <w:style w:type="paragraph" w:customStyle="1" w:styleId="23">
    <w:name w:val="align-left"/>
    <w:basedOn w:val="1"/>
    <w:qFormat/>
    <w:uiPriority w:val="0"/>
    <w:pPr>
      <w:widowControl/>
      <w:spacing w:before="100" w:beforeAutospacing="1" w:after="100" w:afterAutospacing="1"/>
      <w:jc w:val="left"/>
    </w:pPr>
    <w:rPr>
      <w:rFonts w:ascii="宋体" w:hAnsi="宋体" w:cs="宋体"/>
      <w:kern w:val="0"/>
      <w:sz w:val="24"/>
    </w:rPr>
  </w:style>
  <w:style w:type="character" w:customStyle="1" w:styleId="24">
    <w:name w:val="HTML 预设格式 字符"/>
    <w:basedOn w:val="12"/>
    <w:link w:val="8"/>
    <w:qFormat/>
    <w:uiPriority w:val="99"/>
    <w:rPr>
      <w:rFonts w:ascii="宋体" w:hAnsi="宋体" w:eastAsia="宋体" w:cs="宋体"/>
      <w:sz w:val="24"/>
      <w:szCs w:val="24"/>
    </w:rPr>
  </w:style>
  <w:style w:type="character" w:customStyle="1" w:styleId="25">
    <w:name w:val="标题 1 字符"/>
    <w:basedOn w:val="12"/>
    <w:link w:val="2"/>
    <w:qFormat/>
    <w:uiPriority w:val="9"/>
    <w:rPr>
      <w:rFonts w:ascii="宋体" w:hAnsi="宋体" w:eastAsia="宋体" w:cs="宋体"/>
      <w:b/>
      <w:bCs/>
      <w:kern w:val="36"/>
      <w:sz w:val="48"/>
      <w:szCs w:val="48"/>
    </w:rPr>
  </w:style>
  <w:style w:type="paragraph" w:customStyle="1" w:styleId="26">
    <w:name w:val="年报正文"/>
    <w:basedOn w:val="1"/>
    <w:link w:val="27"/>
    <w:qFormat/>
    <w:uiPriority w:val="0"/>
    <w:pPr>
      <w:autoSpaceDE w:val="0"/>
      <w:autoSpaceDN w:val="0"/>
      <w:adjustRightInd w:val="0"/>
      <w:spacing w:line="360" w:lineRule="auto"/>
      <w:ind w:firstLine="480"/>
    </w:pPr>
    <w:rPr>
      <w:rFonts w:cs="宋体" w:asciiTheme="minorEastAsia" w:hAnsiTheme="minorEastAsia" w:eastAsiaTheme="minorEastAsia"/>
      <w:kern w:val="0"/>
      <w:szCs w:val="21"/>
      <w:lang w:val="zh-CN"/>
    </w:rPr>
  </w:style>
  <w:style w:type="character" w:customStyle="1" w:styleId="27">
    <w:name w:val="年报正文 Char"/>
    <w:basedOn w:val="12"/>
    <w:link w:val="26"/>
    <w:qFormat/>
    <w:uiPriority w:val="0"/>
    <w:rPr>
      <w:rFonts w:cs="宋体" w:asciiTheme="minorEastAsia" w:hAnsiTheme="minorEastAsia"/>
      <w:sz w:val="21"/>
      <w:szCs w:val="21"/>
      <w:lang w:val="zh-CN"/>
    </w:rPr>
  </w:style>
  <w:style w:type="character" w:customStyle="1" w:styleId="28">
    <w:name w:val="脚注文本 字符"/>
    <w:basedOn w:val="12"/>
    <w:link w:val="7"/>
    <w:qFormat/>
    <w:uiPriority w:val="0"/>
    <w:rPr>
      <w:rFonts w:ascii="Times New Roman" w:hAnsi="Times New Roman" w:eastAsia="宋体" w:cs="Times New Roman"/>
      <w:kern w:val="2"/>
      <w:sz w:val="18"/>
      <w:szCs w:val="18"/>
    </w:rPr>
  </w:style>
  <w:style w:type="paragraph" w:customStyle="1" w:styleId="29">
    <w:name w:val="ZX_STYLES_GRAPH_TITLE_NOLINE"/>
    <w:basedOn w:val="1"/>
    <w:qFormat/>
    <w:uiPriority w:val="0"/>
    <w:pPr>
      <w:spacing w:before="80" w:beforeLines="80" w:line="220" w:lineRule="exact"/>
    </w:pPr>
    <w:rPr>
      <w:rFonts w:ascii="Arial" w:hAnsi="Arial" w:eastAsia="黑体" w:cs="黑体"/>
      <w:color w:val="0D0D0D"/>
      <w:sz w:val="16"/>
      <w:szCs w:val="20"/>
      <w:u w:color="0D0D0D"/>
      <w:lang w:bidi="en-US"/>
    </w:rPr>
  </w:style>
  <w:style w:type="paragraph" w:customStyle="1" w:styleId="30">
    <w:name w:val="ZX_STYLES_TBL_SOURCE"/>
    <w:qFormat/>
    <w:uiPriority w:val="0"/>
    <w:pPr>
      <w:widowControl w:val="0"/>
      <w:spacing w:after="70" w:afterLines="70" w:line="240" w:lineRule="exact"/>
      <w:jc w:val="both"/>
    </w:pPr>
    <w:rPr>
      <w:rFonts w:ascii="Arial" w:hAnsi="Arial" w:eastAsia="黑体" w:cs="黑体"/>
      <w:color w:val="0D0D0D"/>
      <w:kern w:val="2"/>
      <w:sz w:val="16"/>
      <w:u w:color="0D0D0D"/>
      <w:lang w:val="en-US" w:eastAsia="zh-CN" w:bidi="en-US"/>
    </w:rPr>
  </w:style>
  <w:style w:type="paragraph" w:customStyle="1" w:styleId="31">
    <w:name w:val="ZX_STYLES_GRAPH_DISTANCE"/>
    <w:qFormat/>
    <w:uiPriority w:val="0"/>
    <w:pPr>
      <w:widowControl w:val="0"/>
      <w:spacing w:before="25" w:beforeLines="25" w:after="25" w:afterLines="25"/>
    </w:pPr>
    <w:rPr>
      <w:rFonts w:ascii="Arial" w:hAnsi="Arial" w:eastAsia="黑体" w:cs="黑体"/>
      <w:color w:val="0D0D0D"/>
      <w:kern w:val="2"/>
      <w:sz w:val="16"/>
      <w:u w:color="0D0D0D"/>
      <w:lang w:val="en-US" w:eastAsia="zh-CN" w:bidi="en-US"/>
    </w:rPr>
  </w:style>
  <w:style w:type="table" w:customStyle="1" w:styleId="32">
    <w:name w:val="ZX_STYLES_GRAPH_ONECOL"/>
    <w:basedOn w:val="10"/>
    <w:qFormat/>
    <w:uiPriority w:val="99"/>
    <w:rPr>
      <w:rFonts w:ascii="Arial" w:hAnsi="Arial" w:eastAsia="黑体" w:cs="黑体"/>
      <w:color w:val="0D0D0D"/>
      <w:lang w:bidi="en-US"/>
    </w:rPr>
    <w:tblPr>
      <w:tblBorders>
        <w:insideH w:val="single" w:color="C00000" w:sz="4" w:space="0"/>
      </w:tblBorders>
    </w:tblPr>
  </w:style>
  <w:style w:type="paragraph" w:customStyle="1" w:styleId="33">
    <w:name w:val="石墨文档正文"/>
    <w:qFormat/>
    <w:uiPriority w:val="0"/>
    <w:rPr>
      <w:rFonts w:ascii="Arial Unicode MS" w:hAnsi="Arial Unicode MS" w:cs="Arial Unicode MS" w:eastAsiaTheme="minorEastAsia"/>
      <w:sz w:val="22"/>
      <w:szCs w:val="22"/>
      <w:lang w:val="en-US" w:eastAsia="zh-CN" w:bidi="ar-SA"/>
    </w:rPr>
  </w:style>
  <w:style w:type="paragraph" w:customStyle="1" w:styleId="34">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F578B-CF18-45B2-81B2-47A01C4DF7D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2301</Words>
  <Characters>2387</Characters>
  <Lines>99</Lines>
  <Paragraphs>102</Paragraphs>
  <TotalTime>156</TotalTime>
  <ScaleCrop>false</ScaleCrop>
  <LinksUpToDate>false</LinksUpToDate>
  <CharactersWithSpaces>2388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2017-04-14T05:17:00Z</dcterms:created>
  <dc:creator>微软用户</dc:creator>
  <cp:lastModifiedBy>喜根</cp:lastModifiedBy>
  <cp:lastPrinted>2024-05-13T06:20:00Z</cp:lastPrinted>
  <dcterms:modified xsi:type="dcterms:W3CDTF">2025-05-15T10:32:08Z</dcterms:modified>
  <cp:revision>551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C304E563E10A4D36A39372475E898BC4_13</vt:lpwstr>
  </property>
  <property fmtid="{D5CDD505-2E9C-101B-9397-08002B2CF9AE}" pid="4" name="BD_Document_Page_Count">
    <vt:lpwstr>7</vt:lpwstr>
  </property>
  <property fmtid="{D5CDD505-2E9C-101B-9397-08002B2CF9AE}" pid="5" name="KSOTemplateDocerSaveRecord">
    <vt:lpwstr>eyJoZGlkIjoiMDg3ZmY5ZTNmZjg4YmUwZTQ3ZDJhNTlmMTI0YjkzODIiLCJ1c2VySWQiOiIxMTIyODIwNTY2In0=</vt:lpwstr>
  </property>
</Properties>
</file>