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C3DA">
      <w:pPr>
        <w:autoSpaceDE w:val="0"/>
        <w:autoSpaceDN w:val="0"/>
        <w:adjustRightInd w:val="0"/>
        <w:spacing w:before="1200" w:line="360" w:lineRule="auto"/>
        <w:jc w:val="center"/>
        <w:rPr>
          <w:rFonts w:ascii="宋体" w:hAnsi="宋体"/>
          <w:kern w:val="0"/>
          <w:szCs w:val="21"/>
        </w:rPr>
      </w:pPr>
      <w:r>
        <w:rPr>
          <w:rFonts w:ascii="宋体" w:hAnsi="宋体"/>
          <w:kern w:val="0"/>
          <w:szCs w:val="21"/>
        </w:rPr>
        <w:drawing>
          <wp:inline distT="0" distB="0" distL="0" distR="0">
            <wp:extent cx="3340735" cy="7740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40735" cy="774065"/>
                    </a:xfrm>
                    <a:prstGeom prst="rect">
                      <a:avLst/>
                    </a:prstGeom>
                    <a:noFill/>
                  </pic:spPr>
                </pic:pic>
              </a:graphicData>
            </a:graphic>
          </wp:inline>
        </w:drawing>
      </w:r>
    </w:p>
    <w:p w14:paraId="625885E2">
      <w:pPr>
        <w:spacing w:before="200" w:after="200"/>
        <w:jc w:val="center"/>
        <w:rPr>
          <w:rFonts w:ascii="宋体" w:hAnsi="宋体"/>
          <w:b/>
          <w:bCs/>
          <w:sz w:val="52"/>
          <w:szCs w:val="52"/>
        </w:rPr>
      </w:pPr>
      <w:r>
        <w:rPr>
          <w:rFonts w:ascii="宋体" w:hAnsi="宋体"/>
          <w:b/>
          <w:bCs/>
          <w:sz w:val="52"/>
          <w:szCs w:val="52"/>
        </w:rPr>
        <w:t>湖北盛天网络技术股份有限公司</w:t>
      </w:r>
    </w:p>
    <w:p w14:paraId="2EF3C8CB">
      <w:pPr>
        <w:spacing w:before="400"/>
        <w:jc w:val="center"/>
        <w:rPr>
          <w:rFonts w:ascii="宋体" w:hAnsi="宋体"/>
          <w:b/>
          <w:bCs/>
          <w:sz w:val="48"/>
          <w:szCs w:val="48"/>
        </w:rPr>
      </w:pPr>
    </w:p>
    <w:p w14:paraId="2A96C858">
      <w:pPr>
        <w:spacing w:before="100" w:beforeAutospacing="1" w:after="100" w:afterAutospacing="1" w:line="360" w:lineRule="auto"/>
        <w:jc w:val="center"/>
        <w:rPr>
          <w:rFonts w:hint="default" w:ascii="宋体" w:hAnsi="宋体" w:eastAsia="宋体"/>
          <w:b/>
          <w:bCs/>
          <w:sz w:val="48"/>
          <w:szCs w:val="48"/>
          <w:lang w:val="en-US" w:eastAsia="zh-CN"/>
        </w:rPr>
      </w:pPr>
      <w:r>
        <w:rPr>
          <w:rFonts w:hint="eastAsia" w:ascii="宋体" w:hAnsi="宋体"/>
          <w:b/>
          <w:bCs/>
          <w:sz w:val="48"/>
          <w:szCs w:val="48"/>
          <w:lang w:val="en-US" w:eastAsia="zh-CN"/>
        </w:rPr>
        <w:t>心系投资者</w:t>
      </w:r>
      <w:r>
        <w:rPr>
          <w:rFonts w:hint="eastAsia" w:ascii="宋体" w:hAnsi="宋体"/>
          <w:b/>
          <w:bCs/>
          <w:sz w:val="48"/>
          <w:szCs w:val="48"/>
        </w:rPr>
        <w:t xml:space="preserve"> </w:t>
      </w:r>
      <w:r>
        <w:rPr>
          <w:rFonts w:hint="eastAsia" w:ascii="宋体" w:hAnsi="宋体"/>
          <w:b/>
          <w:bCs/>
          <w:sz w:val="48"/>
          <w:szCs w:val="48"/>
          <w:lang w:val="en-US" w:eastAsia="zh-CN"/>
        </w:rPr>
        <w:t>携手共行动</w:t>
      </w:r>
    </w:p>
    <w:p w14:paraId="31C00B26">
      <w:pPr>
        <w:spacing w:before="100" w:beforeAutospacing="1" w:after="100" w:afterAutospacing="1" w:line="360" w:lineRule="auto"/>
        <w:jc w:val="center"/>
        <w:rPr>
          <w:rFonts w:hint="eastAsia" w:ascii="宋体" w:hAnsi="宋体"/>
          <w:b/>
          <w:bCs/>
          <w:sz w:val="44"/>
          <w:szCs w:val="44"/>
        </w:rPr>
      </w:pPr>
      <w:r>
        <w:rPr>
          <w:rFonts w:hint="eastAsia" w:ascii="宋体" w:hAnsi="宋体"/>
          <w:b/>
          <w:bCs/>
          <w:sz w:val="44"/>
          <w:szCs w:val="44"/>
        </w:rPr>
        <w:t>盛天网络202</w:t>
      </w:r>
      <w:r>
        <w:rPr>
          <w:rFonts w:hint="eastAsia" w:ascii="宋体" w:hAnsi="宋体"/>
          <w:b/>
          <w:bCs/>
          <w:sz w:val="44"/>
          <w:szCs w:val="44"/>
          <w:lang w:val="en-US" w:eastAsia="zh-CN"/>
        </w:rPr>
        <w:t>5</w:t>
      </w:r>
      <w:r>
        <w:rPr>
          <w:rFonts w:hint="eastAsia" w:ascii="宋体" w:hAnsi="宋体"/>
          <w:b/>
          <w:bCs/>
          <w:sz w:val="44"/>
          <w:szCs w:val="44"/>
        </w:rPr>
        <w:t>年投资者保护教育宣传专项活动</w:t>
      </w:r>
    </w:p>
    <w:p w14:paraId="26CBFF4C">
      <w:pPr>
        <w:spacing w:before="100" w:beforeAutospacing="1" w:after="100" w:afterAutospacing="1" w:line="360" w:lineRule="auto"/>
        <w:jc w:val="center"/>
        <w:rPr>
          <w:rFonts w:hint="eastAsia" w:ascii="宋体" w:hAnsi="宋体"/>
          <w:b/>
          <w:bCs/>
          <w:sz w:val="44"/>
          <w:szCs w:val="44"/>
        </w:rPr>
      </w:pPr>
    </w:p>
    <w:p w14:paraId="6C949D0F">
      <w:pPr>
        <w:spacing w:before="100" w:beforeAutospacing="1" w:after="100" w:afterAutospacing="1" w:line="360" w:lineRule="auto"/>
        <w:ind w:firstLine="440" w:firstLineChars="200"/>
        <w:jc w:val="both"/>
        <w:rPr>
          <w:rFonts w:hint="default" w:ascii="宋体" w:hAnsi="宋体"/>
          <w:b/>
          <w:bCs/>
          <w:sz w:val="44"/>
          <w:szCs w:val="44"/>
          <w:lang w:val="en-US"/>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为落实2025年“5.15全国投资者保护宣传日”活动相关要求，强化投资者信心，提升投资者获得感、认同感和自我保护能力，盛天网络于5.15全国投资者保护宣传日期间开展展投资者保护教育宣传专项活动。</w:t>
      </w:r>
    </w:p>
    <w:p w14:paraId="62718C37">
      <w:pPr>
        <w:widowControl/>
        <w:spacing w:line="360" w:lineRule="auto"/>
        <w:jc w:val="center"/>
        <w:rPr>
          <w:rFonts w:hint="eastAsia" w:ascii="宋体" w:hAnsi="宋体" w:cs="Arial"/>
          <w:b/>
          <w:bCs/>
          <w:color w:val="0D0D0D" w:themeColor="text1" w:themeTint="F2"/>
          <w:kern w:val="0"/>
          <w:sz w:val="32"/>
          <w:szCs w:val="36"/>
          <w:lang w:val="en-US" w:eastAsia="zh-CN"/>
          <w14:textFill>
            <w14:solidFill>
              <w14:schemeClr w14:val="tx1">
                <w14:lumMod w14:val="95000"/>
                <w14:lumOff w14:val="5000"/>
              </w14:schemeClr>
            </w14:solidFill>
          </w14:textFill>
        </w:rPr>
      </w:pPr>
      <w:r>
        <w:rPr>
          <w:rFonts w:hint="eastAsia" w:ascii="宋体" w:hAnsi="宋体" w:cs="Arial"/>
          <w:b/>
          <w:bCs/>
          <w:color w:val="0D0D0D" w:themeColor="text1" w:themeTint="F2"/>
          <w:kern w:val="0"/>
          <w:sz w:val="32"/>
          <w:szCs w:val="36"/>
          <w:lang w:val="en-US" w:eastAsia="zh-CN"/>
          <w14:textFill>
            <w14:solidFill>
              <w14:schemeClr w14:val="tx1">
                <w14:lumMod w14:val="95000"/>
                <w14:lumOff w14:val="5000"/>
              </w14:schemeClr>
            </w14:solidFill>
          </w14:textFill>
        </w:rPr>
        <w:t>第四期</w:t>
      </w:r>
    </w:p>
    <w:p w14:paraId="34363820">
      <w:pPr>
        <w:widowControl/>
        <w:spacing w:line="360" w:lineRule="auto"/>
        <w:jc w:val="center"/>
        <w:rPr>
          <w:rFonts w:hint="eastAsia" w:ascii="宋体" w:hAnsi="宋体" w:cs="Arial"/>
          <w:b/>
          <w:bCs/>
          <w:color w:val="0D0D0D" w:themeColor="text1" w:themeTint="F2"/>
          <w:kern w:val="0"/>
          <w:sz w:val="32"/>
          <w:szCs w:val="36"/>
          <w:lang w:val="en-US" w:eastAsia="zh-CN"/>
          <w14:textFill>
            <w14:solidFill>
              <w14:schemeClr w14:val="tx1">
                <w14:lumMod w14:val="95000"/>
                <w14:lumOff w14:val="5000"/>
              </w14:schemeClr>
            </w14:solidFill>
          </w14:textFill>
        </w:rPr>
      </w:pPr>
      <w:r>
        <w:rPr>
          <w:rFonts w:hint="eastAsia" w:ascii="宋体" w:hAnsi="宋体" w:cs="Arial"/>
          <w:b/>
          <w:bCs/>
          <w:color w:val="0D0D0D" w:themeColor="text1" w:themeTint="F2"/>
          <w:kern w:val="0"/>
          <w:sz w:val="32"/>
          <w:szCs w:val="36"/>
          <w:lang w:val="en-US" w:eastAsia="zh-CN"/>
          <w14:textFill>
            <w14:solidFill>
              <w14:schemeClr w14:val="tx1">
                <w14:lumMod w14:val="95000"/>
                <w14:lumOff w14:val="5000"/>
              </w14:schemeClr>
            </w14:solidFill>
          </w14:textFill>
        </w:rPr>
        <w:t>依法从严执法 护航</w:t>
      </w:r>
      <w:bookmarkStart w:id="0" w:name="_GoBack"/>
      <w:bookmarkEnd w:id="0"/>
      <w:r>
        <w:rPr>
          <w:rFonts w:hint="eastAsia" w:ascii="宋体" w:hAnsi="宋体" w:cs="Arial"/>
          <w:b/>
          <w:bCs/>
          <w:color w:val="0D0D0D" w:themeColor="text1" w:themeTint="F2"/>
          <w:kern w:val="0"/>
          <w:sz w:val="32"/>
          <w:szCs w:val="36"/>
          <w:lang w:val="en-US" w:eastAsia="zh-CN"/>
          <w14:textFill>
            <w14:solidFill>
              <w14:schemeClr w14:val="tx1">
                <w14:lumMod w14:val="95000"/>
                <w14:lumOff w14:val="5000"/>
              </w14:schemeClr>
            </w14:solidFill>
          </w14:textFill>
        </w:rPr>
        <w:t>资本市场高质量发展</w:t>
      </w:r>
    </w:p>
    <w:p w14:paraId="58D02652">
      <w:pPr>
        <w:widowControl/>
        <w:spacing w:line="360" w:lineRule="auto"/>
        <w:jc w:val="center"/>
        <w:rPr>
          <w:rFonts w:hint="eastAsia" w:ascii="宋体" w:hAnsi="宋体" w:cs="Arial"/>
          <w:b/>
          <w:bCs/>
          <w:color w:val="0D0D0D" w:themeColor="text1" w:themeTint="F2"/>
          <w:kern w:val="0"/>
          <w:sz w:val="32"/>
          <w:szCs w:val="36"/>
          <w:lang w:val="en-US" w:eastAsia="zh-CN"/>
          <w14:textFill>
            <w14:solidFill>
              <w14:schemeClr w14:val="tx1">
                <w14:lumMod w14:val="95000"/>
                <w14:lumOff w14:val="5000"/>
              </w14:schemeClr>
            </w14:solidFill>
          </w14:textFill>
        </w:rPr>
      </w:pPr>
      <w:r>
        <w:rPr>
          <w:rFonts w:hint="eastAsia" w:ascii="宋体" w:hAnsi="宋体" w:cs="Arial"/>
          <w:b/>
          <w:bCs/>
          <w:color w:val="0D0D0D" w:themeColor="text1" w:themeTint="F2"/>
          <w:kern w:val="0"/>
          <w:sz w:val="32"/>
          <w:szCs w:val="36"/>
          <w:lang w:val="en-US" w:eastAsia="zh-CN"/>
          <w14:textFill>
            <w14:solidFill>
              <w14:schemeClr w14:val="tx1">
                <w14:lumMod w14:val="95000"/>
                <w14:lumOff w14:val="5000"/>
              </w14:schemeClr>
            </w14:solidFill>
          </w14:textFill>
        </w:rPr>
        <w:t>——2024年中国证监会执法情况综述</w:t>
      </w:r>
    </w:p>
    <w:p w14:paraId="2F47D5F0">
      <w:pPr>
        <w:widowControl/>
        <w:spacing w:line="360" w:lineRule="auto"/>
        <w:jc w:val="center"/>
        <w:rPr>
          <w:rFonts w:hint="eastAsia" w:ascii="宋体" w:hAnsi="宋体" w:cs="Arial"/>
          <w:color w:val="0D0D0D" w:themeColor="text1" w:themeTint="F2"/>
          <w:kern w:val="0"/>
          <w:sz w:val="32"/>
          <w:szCs w:val="36"/>
          <w:lang w:val="en-US" w:eastAsia="zh-CN"/>
          <w14:textFill>
            <w14:solidFill>
              <w14:schemeClr w14:val="tx1">
                <w14:lumMod w14:val="95000"/>
                <w14:lumOff w14:val="5000"/>
              </w14:schemeClr>
            </w14:solidFill>
          </w14:textFill>
        </w:rPr>
      </w:pPr>
    </w:p>
    <w:p w14:paraId="265F612C">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2024年，证监会坚持以习近平新时代中国特色社会主义思想为指导，深入学习贯彻党的二十届三中全会精神，全面落实中央经济工作会议、全国金融系统工作会议部署，突出强本强基、严监严管，聚焦“打大、打恶、打重点”，坚持“惩防治”并举，“行民刑”协同，坚决做到“长牙带刺”、有棱有角，全力提升执法效能，努力实现严而有力、严而有度、严而有方、严而有效。</w:t>
      </w:r>
    </w:p>
    <w:p w14:paraId="3B6DB311">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一、2024年总体执法情况</w:t>
      </w:r>
    </w:p>
    <w:p w14:paraId="20FC2E6B">
      <w:pPr>
        <w:widowControl/>
        <w:spacing w:line="360" w:lineRule="auto"/>
        <w:jc w:val="cente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drawing>
          <wp:inline distT="0" distB="0" distL="114300" distR="114300">
            <wp:extent cx="4591050" cy="2514600"/>
            <wp:effectExtent l="0" t="0" r="0" b="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7"/>
                    <a:stretch>
                      <a:fillRect/>
                    </a:stretch>
                  </pic:blipFill>
                  <pic:spPr>
                    <a:xfrm>
                      <a:off x="0" y="0"/>
                      <a:ext cx="4591050" cy="2514600"/>
                    </a:xfrm>
                    <a:prstGeom prst="rect">
                      <a:avLst/>
                    </a:prstGeom>
                  </pic:spPr>
                </pic:pic>
              </a:graphicData>
            </a:graphic>
          </wp:inline>
        </w:drawing>
      </w:r>
    </w:p>
    <w:p w14:paraId="4C7C9474">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2024年，证监会持续加大执法力度，依法从严查办证券期货违法案件739件，作出处罚决定592件、同比增长10%，处罚责任主体1327人（家）次、同比增长24%，市场禁入118人、同比增长15%；向公安机关移送涉嫌犯罪案件和线索178件，同比增长51%。</w:t>
      </w:r>
    </w:p>
    <w:p w14:paraId="490C4E15">
      <w:pPr>
        <w:widowControl/>
        <w:spacing w:line="360" w:lineRule="auto"/>
        <w:jc w:val="cente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drawing>
          <wp:inline distT="0" distB="0" distL="114300" distR="114300">
            <wp:extent cx="5295900" cy="2952750"/>
            <wp:effectExtent l="0" t="0" r="0" b="0"/>
            <wp:docPr id="4" name="图片 4" descr="图片2-2025051509532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20250515095324747"/>
                    <pic:cNvPicPr>
                      <a:picLocks noChangeAspect="1"/>
                    </pic:cNvPicPr>
                  </pic:nvPicPr>
                  <pic:blipFill>
                    <a:blip r:embed="rId8"/>
                    <a:stretch>
                      <a:fillRect/>
                    </a:stretch>
                  </pic:blipFill>
                  <pic:spPr>
                    <a:xfrm>
                      <a:off x="0" y="0"/>
                      <a:ext cx="5295900" cy="2952750"/>
                    </a:xfrm>
                    <a:prstGeom prst="rect">
                      <a:avLst/>
                    </a:prstGeom>
                  </pic:spPr>
                </pic:pic>
              </a:graphicData>
            </a:graphic>
          </wp:inline>
        </w:drawing>
      </w:r>
    </w:p>
    <w:p w14:paraId="0E6868B1">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从案件构成看，信息披露案件249件位居首位，占案件总数的34%；中介机构未勤勉尽责案件95件，连续三年增加，占案件总数的13%；内幕交易案件178件、操纵市场案件71件，分别占比24%、10%，数量与往年基本持平。</w:t>
      </w:r>
    </w:p>
    <w:p w14:paraId="4247B225">
      <w:pPr>
        <w:widowControl/>
        <w:spacing w:line="360" w:lineRule="auto"/>
        <w:jc w:val="cente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drawing>
          <wp:inline distT="0" distB="0" distL="114300" distR="114300">
            <wp:extent cx="4552950" cy="2667000"/>
            <wp:effectExtent l="0" t="0" r="0" b="0"/>
            <wp:docPr id="5" name="图片 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3"/>
                    <pic:cNvPicPr>
                      <a:picLocks noChangeAspect="1"/>
                    </pic:cNvPicPr>
                  </pic:nvPicPr>
                  <pic:blipFill>
                    <a:blip r:embed="rId9"/>
                    <a:stretch>
                      <a:fillRect/>
                    </a:stretch>
                  </pic:blipFill>
                  <pic:spPr>
                    <a:xfrm>
                      <a:off x="0" y="0"/>
                      <a:ext cx="4552950" cy="2667000"/>
                    </a:xfrm>
                    <a:prstGeom prst="rect">
                      <a:avLst/>
                    </a:prstGeom>
                  </pic:spPr>
                </pic:pic>
              </a:graphicData>
            </a:graphic>
          </wp:inline>
        </w:drawing>
      </w:r>
    </w:p>
    <w:p w14:paraId="0721D663">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二、重拳出击：重点领域执法成效显著</w:t>
      </w:r>
    </w:p>
    <w:p w14:paraId="72B84C1E">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2024年，证监会在发行上市、信息披露、并购重组、退市等重点领域加大执法力度，集中力量精准打击欺诈发行、财务造假、操纵市场等投资者最关切、最痛恨、最不能容忍的违法违规行为，通过“抓重点、办大案、树导向”，引导市场主体诚实守信、合规经营，切实维护资本市场秩序和投资者权益。</w:t>
      </w:r>
    </w:p>
    <w:p w14:paraId="6A86C0FD">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严打欺诈发行，守好上市“入口关”。欺诈发行从源头上侵蚀市场诚信根基，扭曲资源配置机制，是资本市场“首害”。证监会秉持“执法全覆盖，申报即担责”原则，全年对87家拟上市企业开展现场检查或督导，严肃查办5起欺诈发行案件。其中，对高德信、华道生物等拟上市企业报送虚假财务数据行为处以3270万元、1150万元罚款；对恒大地产欺诈发行债券及信息披露违法处以41.75亿元罚款，对董事长、实际控制人许某印处以4700万元罚款、终身禁入证券市场，彰显依法从严打击欺诈发行的监管态度和坚定决心。</w:t>
      </w:r>
    </w:p>
    <w:p w14:paraId="57034C4E">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严惩财务造假，把好信息披露“质量关”。财务造假是侵蚀市场根基的“毒瘤”，一直是证监会重点打击对象。2024年，证监会通过年报审阅、现场检查、舆情监测、投诉举报、大数据建模分析等多元化渠道发现财务造假线索，查办相关案件128件，重点打击虚构业务、滥用会计政策、第三方配合造假等违法行为。其中，鹏博士因操控资产减值计提虚增利润和资产，公司及相关责任人员被处以3400万元罚款；对紫晶存储案中两家配合财务造假的上市公司立案调查，坚决破除财务造假利益链条。</w:t>
      </w:r>
    </w:p>
    <w:p w14:paraId="04B6F6A4">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严查非法套利，筑牢并购重组“合规关”。并购重组是支持上市公司注入优质资产、提升投资价值的重要工具。2024年，证监会在激发并购重组市场活力的同时，切实加强监管执法。指导交易所强化股价异动监控，精准打击“潜伏”重组股实施内幕交易的不法行为，及时查处35起相关案件，其中，吴某杭内幕交易案罚没款超1亿元；严厉打击利用“跨界”并购重组题材炒作股价行为，恒润股份案中原董事长炒作公司转型“算力”业务，操控上市公司连续发布利好消息，误导投资者交易决策，最终被罚没6156万元。相关案件的及时查处，切实维护了重组市场秩序，保障了资源配置高效公平。</w:t>
      </w:r>
    </w:p>
    <w:p w14:paraId="7227F05A">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出清“害群之马”，畅通退市“出口关”。资本市场如同蓄水池，进出有序才能维持良好市场生态。2024年，证监会坚持“应退尽退”原则，持续加大问题公司出清力度，全年55家上市公司退市。秉持“退市不免责”，对35家退市公司及责任人的违法违规问题一追到底。其中，美尚生态退市后仍被行政处罚并移送公安机关追究刑事责任，相关特别代表人诉讼案件也已正式进入司法程序。同时，严厉打击各类规避退市行为，＊ST金洲时任董事长朱某文为避免公司面值退市伙同私募机构炒作本公司股票，最终被罚没1.15亿元并终身禁入证券市场，严防问题公司“鱼目混珠”。</w:t>
      </w:r>
    </w:p>
    <w:p w14:paraId="5EA3D6A2">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三、靶向攻坚：划清市场主体行为边界</w:t>
      </w:r>
    </w:p>
    <w:p w14:paraId="02E2589B">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证监会坚持“追首恶”“惩帮凶”，通过加大追责力度，压实主体责任，引导上市公司实际控制人、控股股东、董监高等“关键少数”依法依规行事、中介机构审慎勤勉履职、从业人员廉洁自律执业，助力维护资本市场平稳健康发展。</w:t>
      </w:r>
    </w:p>
    <w:p w14:paraId="3F7748AD">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紧盯“关键少数”失责。上市公司“关键少数”守法合规、诚信经营，对推动提高上市公司质量、保护中小投资者合法权益意义重大。证监会严厉打击“关键少数”利用上市公司平台攫取个人私利、损害公司利益的行为，全年查处“关键少数”989人次，同比增长21%，罚没28.1亿元，同比增长63%，市场禁入81人次。严肃追究35起财务造假案件中大股东、实控人的组织、指使责任，同比增长近60%。依法从严打击35起资金占用类案件，永悦科技实际控制人陈某违规转出上市公司资金6630万元供关联方使用，被处以1050万元罚款，并采取五年证券市场禁入措施。快查快办14起违规减持案件，其中，中核钛白实际控制人王某龙等利用衍生品、融券等交易工具“绕道”减持，被处以2.35亿元罚没款。上述案件的查办，进一步强化了对“关键少数”的警示震慑与刚性约束。</w:t>
      </w:r>
    </w:p>
    <w:p w14:paraId="30FCB099">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严防“看门人”失守。中介机构是资本市场治理的重要力量，发挥着专业把关的积极作用，其执业质量直接关系市场健康运行。证监会全面追究各类审计、保荐、法律服务等中介机构未勤勉尽责行为的责任，全年罚没6.73亿元，对4家会计师事务所和1家证券公司暂停业务6个月。其中，在恒大地产案中对审计机构普华永道开出3.25亿元“创记录”罚单；在金通灵案中对审计机构大华所开出“没一罚五”4100余万元罚单，并暂停从事证券业务6个月，真正实现“罚到痛处、禁到怕处”，推动提升行业执业规范水平。</w:t>
      </w:r>
    </w:p>
    <w:p w14:paraId="661CDA6D">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严查“从业人员”失职。从业人员是资本市场的重要参与者，其专业素质、职业操守和合规意识直接关系到市场的公平性和透明度。2024年，证监会对证券、基金、期货、投资咨询等全行业从业人员持续强化监管执法，严肃查办59起从业人员违法违规案件。开展打击证券从业人员违规炒股专项治理行动，对38名从业人员作出行政处罚，对66名从业人员、7家证券公司采取出具警示函、监管谈话等行政监管措施。其中，对证券公司高管孙某祥违规买卖股票等违法行为开出同类案件年内最大罚单1800余万元，并采取5年证券市场禁入措施；严厉打击15起利用未公开信息交易案件，对某资管公司高级投资经理刘某义“老鼠仓”行为处以6400余万元罚没款，有效净化了行业风气。</w:t>
      </w:r>
    </w:p>
    <w:p w14:paraId="5A66D598">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四、提升效能：推动个案查处向生态治理转变</w:t>
      </w:r>
    </w:p>
    <w:p w14:paraId="7257EDAA">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证券执法既是违法“惩戒”的有力手段，也具有市场“治理”的重要功能。证监会在坚持从严打击各类违法违规行为的同时，注重发挥执法在发现监管漏洞、消除监管盲区、促进基础制度完善等方面的积极作用，通过惩治违法“已然”，督促市场主体纠正不当行为、减轻危害后果，通过震慑违法“未然”，实现“办理一案、震慑一方、治理一域”，推动形成崇法守信的良好市场生态。</w:t>
      </w:r>
    </w:p>
    <w:p w14:paraId="4FE55D8B">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强化源头治理，坚决遏制违法苗头。持续加大监测力度，对新型、苗头性违法违规行为坚持露头就打，相继查办3起利用个股场外期权等衍生品实施内幕交易的典型案件。严厉打击股市“黑嘴”，对刘某、娄某等股市“黑嘴”操纵股价行为罚没3.34亿元，并采取终身证券市场禁入措施。同时，深入开展高发频发案件成因研究，及时弥补制度规范漏洞，切实提升治理效能。</w:t>
      </w:r>
    </w:p>
    <w:p w14:paraId="7FDC7C9D">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强化系统治理，构建综合惩防体系。与相关部委联合制定并推动国务院办公厅转发《关于进一步做好资本市场财务造假综合惩防工作的意见》，加强部际协同和央地协同，建立常态化长效化的财务造假防治机制，并以此为契机，部署开展专项行动，集中发现和惩处了一批财务造假重大案件。全年作出行政处罚61件，罚没金额51.57亿元，处罚责任人员426人，对65人采取证券市场禁入措施，相关第三方配合造假线索统一移交相关部门或属地政府依法处置，打击上市公司财务造假合力进一步增强，综合惩防效果凸显。</w:t>
      </w:r>
    </w:p>
    <w:p w14:paraId="4AC7D8AC">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强化依法治理，不断提升执法规范化水平。进一步规范行政裁量权，制定发布《中国证监会行政处罚裁量基本规则》，明确“不予处罚、免予处罚、减轻处罚、从轻处罚、一般处罚、从重处罚”等六档裁量阶次及适用情形，细化量化裁量幅度，统一执法标准，为不偏不倚、不枉不纵执法提供制度保障。执法实践中，强化对案件调查的全周期管理和全流程质量管控，不断提升监管执法的规范性和精细化，为资本市场织密制度之网、校准监管之尺。</w:t>
      </w:r>
    </w:p>
    <w:p w14:paraId="5AE7CD9C">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下一步，证监会将坚决贯彻落实党中央、国务院各项决策部署，紧扣“防风险、强监管、促高质量发展”工作主线，不断提升执法能力和办案质效，用好用足法律法规赋予的执法手段，快、准、狠打击证券期货违法违规，切实维护投资者合法权益，为建设高质量资本市场提供有力法治保障。</w:t>
      </w:r>
    </w:p>
    <w:p w14:paraId="7EBAFF60">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p>
    <w:p w14:paraId="36A4B039">
      <w:pPr>
        <w:pStyle w:val="9"/>
        <w:autoSpaceDE w:val="0"/>
        <w:autoSpaceDN w:val="0"/>
        <w:spacing w:before="0" w:beforeAutospacing="0" w:after="0" w:afterAutospacing="0" w:line="360" w:lineRule="auto"/>
        <w:ind w:firstLine="480"/>
        <w:jc w:val="both"/>
        <w:rPr>
          <w:rFonts w:hint="eastAsia" w:ascii="宋体" w:hAnsi="宋体"/>
          <w:b w:val="0"/>
          <w:bCs/>
          <w:sz w:val="24"/>
        </w:rPr>
      </w:pPr>
    </w:p>
    <w:p w14:paraId="76A28BE9">
      <w:pPr>
        <w:pStyle w:val="9"/>
        <w:autoSpaceDE w:val="0"/>
        <w:autoSpaceDN w:val="0"/>
        <w:spacing w:before="0" w:beforeAutospacing="0" w:after="0" w:afterAutospacing="0" w:line="360" w:lineRule="auto"/>
        <w:ind w:firstLine="480"/>
        <w:jc w:val="both"/>
        <w:rPr>
          <w:rFonts w:hint="eastAsia" w:ascii="宋体" w:hAnsi="宋体"/>
          <w:b w:val="0"/>
          <w:bCs/>
          <w:sz w:val="24"/>
        </w:rPr>
      </w:pPr>
    </w:p>
    <w:p w14:paraId="41DF5156">
      <w:pPr>
        <w:pStyle w:val="9"/>
        <w:autoSpaceDE w:val="0"/>
        <w:autoSpaceDN w:val="0"/>
        <w:spacing w:before="0" w:beforeAutospacing="0" w:after="0" w:afterAutospacing="0" w:line="360" w:lineRule="auto"/>
        <w:jc w:val="both"/>
        <w:rPr>
          <w:rFonts w:hint="default"/>
          <w:b w:val="0"/>
          <w:bCs/>
          <w:sz w:val="24"/>
          <w:lang w:val="en-US" w:eastAsia="zh-CN"/>
        </w:rPr>
      </w:pPr>
      <w:r>
        <w:rPr>
          <w:rFonts w:hint="eastAsia"/>
          <w:b w:val="0"/>
          <w:bCs/>
          <w:sz w:val="24"/>
          <w:lang w:val="en-US" w:eastAsia="zh-CN"/>
        </w:rPr>
        <w:t>来源：中国证监会</w:t>
      </w:r>
    </w:p>
    <w:p w14:paraId="4289EFCF">
      <w:pPr>
        <w:pStyle w:val="9"/>
        <w:autoSpaceDE w:val="0"/>
        <w:autoSpaceDN w:val="0"/>
        <w:spacing w:before="0" w:beforeAutospacing="0" w:after="0" w:afterAutospacing="0" w:line="360" w:lineRule="auto"/>
        <w:jc w:val="both"/>
        <w:rPr>
          <w:rFonts w:hint="default"/>
          <w:b w:val="0"/>
          <w:bCs/>
          <w:sz w:val="24"/>
          <w:lang w:val="en-US" w:eastAsia="zh-CN"/>
        </w:rPr>
      </w:pPr>
      <w:r>
        <w:rPr>
          <w:rFonts w:hint="eastAsia"/>
          <w:b w:val="0"/>
          <w:bCs/>
          <w:sz w:val="24"/>
          <w:lang w:val="en-US" w:eastAsia="zh-CN"/>
        </w:rPr>
        <w:t>链接：</w:t>
      </w:r>
      <w:r>
        <w:rPr>
          <w:rFonts w:hint="eastAsia"/>
          <w:b w:val="0"/>
          <w:bCs/>
          <w:color w:val="auto"/>
          <w:sz w:val="24"/>
          <w:u w:val="none"/>
          <w:lang w:val="en-US" w:eastAsia="zh-CN"/>
        </w:rPr>
        <w:t>http://www.csrc.gov.cn/csrc/c100028/c7557781/content.shtml</w:t>
      </w:r>
    </w:p>
    <w:p w14:paraId="602AEDCC">
      <w:pPr>
        <w:widowControl/>
        <w:jc w:val="left"/>
        <w:rPr>
          <w:rFonts w:hint="eastAsia" w:ascii="simsun,&quot;times new roman&quot;" w:hAnsi="simsun,&quot;times new roman&quot;" w:cs="宋体"/>
          <w:color w:val="000000"/>
          <w:kern w:val="0"/>
          <w:sz w:val="22"/>
        </w:rPr>
      </w:pPr>
    </w:p>
    <w:sectPr>
      <w:headerReference r:id="rId3" w:type="default"/>
      <w:footerReference r:id="rId4" w:type="default"/>
      <w:pgSz w:w="11906" w:h="16838"/>
      <w:pgMar w:top="1440" w:right="1134" w:bottom="1440"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simsun,&quot;times new roman&quo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rPr>
      <w:id w:val="-1513603191"/>
      <w:docPartObj>
        <w:docPartGallery w:val="autotext"/>
      </w:docPartObj>
    </w:sdtPr>
    <w:sdtEndPr>
      <w:rPr>
        <w:rFonts w:asciiTheme="majorEastAsia" w:hAnsiTheme="majorEastAsia" w:eastAsiaTheme="majorEastAsia"/>
      </w:rPr>
    </w:sdtEndPr>
    <w:sdtContent>
      <w:p w14:paraId="19C5CB61">
        <w:pPr>
          <w:pStyle w:val="5"/>
          <w:jc w:val="center"/>
          <w:rPr>
            <w:rFonts w:asciiTheme="majorEastAsia" w:hAnsiTheme="majorEastAsia" w:eastAsiaTheme="majorEastAsia"/>
          </w:rPr>
        </w:pPr>
        <w:r>
          <w:rPr>
            <w:rFonts w:asciiTheme="majorEastAsia" w:hAnsiTheme="majorEastAsia" w:eastAsiaTheme="majorEastAsia"/>
          </w:rPr>
          <w:fldChar w:fldCharType="begin"/>
        </w:r>
        <w:r>
          <w:rPr>
            <w:rFonts w:asciiTheme="majorEastAsia" w:hAnsiTheme="majorEastAsia" w:eastAsiaTheme="majorEastAsia"/>
          </w:rPr>
          <w:instrText xml:space="preserve">PAGE   \* MERGEFORMAT</w:instrText>
        </w:r>
        <w:r>
          <w:rPr>
            <w:rFonts w:asciiTheme="majorEastAsia" w:hAnsiTheme="majorEastAsia" w:eastAsiaTheme="majorEastAsia"/>
          </w:rPr>
          <w:fldChar w:fldCharType="separate"/>
        </w:r>
        <w:r>
          <w:rPr>
            <w:rFonts w:asciiTheme="majorEastAsia" w:hAnsiTheme="majorEastAsia" w:eastAsiaTheme="majorEastAsia"/>
            <w:lang w:val="zh-CN"/>
          </w:rPr>
          <w:t>6</w:t>
        </w:r>
        <w:r>
          <w:rPr>
            <w:rFonts w:asciiTheme="majorEastAsia" w:hAnsiTheme="majorEastAsia" w:eastAsiaTheme="majorEastAsia"/>
          </w:rPr>
          <w:fldChar w:fldCharType="end"/>
        </w:r>
      </w:p>
    </w:sdtContent>
  </w:sdt>
  <w:p w14:paraId="692977FF">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4F39E">
    <w:pPr>
      <w:pStyle w:val="6"/>
      <w:pBdr>
        <w:bottom w:val="none" w:color="auto" w:sz="0" w:space="0"/>
      </w:pBdr>
      <w:rPr>
        <w:rFonts w:asciiTheme="majorEastAsia" w:hAnsiTheme="majorEastAsia" w:eastAsia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NWVkYTQ3MTIwOWJmMTQ5NmI4YmE2ZjhlNzI1ZWMifQ=="/>
  </w:docVars>
  <w:rsids>
    <w:rsidRoot w:val="009D5584"/>
    <w:rsid w:val="00003A5B"/>
    <w:rsid w:val="00003BCC"/>
    <w:rsid w:val="000061F6"/>
    <w:rsid w:val="000067C0"/>
    <w:rsid w:val="00007C36"/>
    <w:rsid w:val="00013FC1"/>
    <w:rsid w:val="000154A4"/>
    <w:rsid w:val="000159E6"/>
    <w:rsid w:val="00017E9C"/>
    <w:rsid w:val="000269F2"/>
    <w:rsid w:val="0002717D"/>
    <w:rsid w:val="00033536"/>
    <w:rsid w:val="00034C53"/>
    <w:rsid w:val="00035509"/>
    <w:rsid w:val="000367DD"/>
    <w:rsid w:val="00036951"/>
    <w:rsid w:val="00043959"/>
    <w:rsid w:val="00043EFD"/>
    <w:rsid w:val="000527B2"/>
    <w:rsid w:val="00052D24"/>
    <w:rsid w:val="00065515"/>
    <w:rsid w:val="00072D93"/>
    <w:rsid w:val="0007750C"/>
    <w:rsid w:val="00083A0C"/>
    <w:rsid w:val="0008409B"/>
    <w:rsid w:val="00086261"/>
    <w:rsid w:val="00086349"/>
    <w:rsid w:val="000A5772"/>
    <w:rsid w:val="000A5A23"/>
    <w:rsid w:val="000B1EE9"/>
    <w:rsid w:val="000B5F3D"/>
    <w:rsid w:val="000B6C8C"/>
    <w:rsid w:val="000C1906"/>
    <w:rsid w:val="000C2B55"/>
    <w:rsid w:val="000C3318"/>
    <w:rsid w:val="000D2CA2"/>
    <w:rsid w:val="000E39BA"/>
    <w:rsid w:val="000E55AD"/>
    <w:rsid w:val="000E7C26"/>
    <w:rsid w:val="000F0969"/>
    <w:rsid w:val="000F10D5"/>
    <w:rsid w:val="000F17D6"/>
    <w:rsid w:val="000F5DAD"/>
    <w:rsid w:val="000F6CBE"/>
    <w:rsid w:val="00102D70"/>
    <w:rsid w:val="001048ED"/>
    <w:rsid w:val="00106083"/>
    <w:rsid w:val="00106BB6"/>
    <w:rsid w:val="001074CB"/>
    <w:rsid w:val="001123A8"/>
    <w:rsid w:val="001175C2"/>
    <w:rsid w:val="00120DDB"/>
    <w:rsid w:val="00120FF0"/>
    <w:rsid w:val="001212EA"/>
    <w:rsid w:val="001220AA"/>
    <w:rsid w:val="001250FB"/>
    <w:rsid w:val="00125DE4"/>
    <w:rsid w:val="00126A2C"/>
    <w:rsid w:val="00127446"/>
    <w:rsid w:val="001403DC"/>
    <w:rsid w:val="00142B70"/>
    <w:rsid w:val="00150CE1"/>
    <w:rsid w:val="001511C7"/>
    <w:rsid w:val="00151B8D"/>
    <w:rsid w:val="0015202B"/>
    <w:rsid w:val="00152428"/>
    <w:rsid w:val="0015289B"/>
    <w:rsid w:val="001615C8"/>
    <w:rsid w:val="00161B9C"/>
    <w:rsid w:val="00162738"/>
    <w:rsid w:val="0016284D"/>
    <w:rsid w:val="00163EA7"/>
    <w:rsid w:val="0016407D"/>
    <w:rsid w:val="001701C2"/>
    <w:rsid w:val="00172FB2"/>
    <w:rsid w:val="00176895"/>
    <w:rsid w:val="00181A58"/>
    <w:rsid w:val="0018442A"/>
    <w:rsid w:val="00184B75"/>
    <w:rsid w:val="001856F4"/>
    <w:rsid w:val="00187271"/>
    <w:rsid w:val="001970B3"/>
    <w:rsid w:val="001A027F"/>
    <w:rsid w:val="001A0D5F"/>
    <w:rsid w:val="001A6806"/>
    <w:rsid w:val="001B5CEC"/>
    <w:rsid w:val="001B76C0"/>
    <w:rsid w:val="001B7DC0"/>
    <w:rsid w:val="001C19B5"/>
    <w:rsid w:val="001C214C"/>
    <w:rsid w:val="001C2CBC"/>
    <w:rsid w:val="001C58BD"/>
    <w:rsid w:val="001C6E4E"/>
    <w:rsid w:val="001D476D"/>
    <w:rsid w:val="001D6A07"/>
    <w:rsid w:val="001D6FBE"/>
    <w:rsid w:val="001E020F"/>
    <w:rsid w:val="001E0C73"/>
    <w:rsid w:val="001E3361"/>
    <w:rsid w:val="001E5A88"/>
    <w:rsid w:val="001E6982"/>
    <w:rsid w:val="00203A6E"/>
    <w:rsid w:val="0020728D"/>
    <w:rsid w:val="0021207C"/>
    <w:rsid w:val="00212934"/>
    <w:rsid w:val="002139EF"/>
    <w:rsid w:val="0022049E"/>
    <w:rsid w:val="00235828"/>
    <w:rsid w:val="00237103"/>
    <w:rsid w:val="002427A0"/>
    <w:rsid w:val="002439A2"/>
    <w:rsid w:val="0025045E"/>
    <w:rsid w:val="00250A27"/>
    <w:rsid w:val="00251185"/>
    <w:rsid w:val="00256AE7"/>
    <w:rsid w:val="002729B1"/>
    <w:rsid w:val="00276E99"/>
    <w:rsid w:val="002808A2"/>
    <w:rsid w:val="00285739"/>
    <w:rsid w:val="002910CA"/>
    <w:rsid w:val="00291497"/>
    <w:rsid w:val="0029317D"/>
    <w:rsid w:val="002950B6"/>
    <w:rsid w:val="002961FC"/>
    <w:rsid w:val="002A392B"/>
    <w:rsid w:val="002B1763"/>
    <w:rsid w:val="002B4D4E"/>
    <w:rsid w:val="002B65DD"/>
    <w:rsid w:val="002C1A2E"/>
    <w:rsid w:val="002C2BCE"/>
    <w:rsid w:val="002C354E"/>
    <w:rsid w:val="002C503B"/>
    <w:rsid w:val="002C7526"/>
    <w:rsid w:val="002C7D91"/>
    <w:rsid w:val="002D7774"/>
    <w:rsid w:val="002E2B9C"/>
    <w:rsid w:val="002E309F"/>
    <w:rsid w:val="002E31F8"/>
    <w:rsid w:val="002E5CAF"/>
    <w:rsid w:val="002F47D4"/>
    <w:rsid w:val="002F5B0F"/>
    <w:rsid w:val="00302761"/>
    <w:rsid w:val="00302AFA"/>
    <w:rsid w:val="00310D8C"/>
    <w:rsid w:val="00317691"/>
    <w:rsid w:val="00324973"/>
    <w:rsid w:val="00336EBD"/>
    <w:rsid w:val="00347FC0"/>
    <w:rsid w:val="003535B1"/>
    <w:rsid w:val="00354FD0"/>
    <w:rsid w:val="0036184A"/>
    <w:rsid w:val="00361990"/>
    <w:rsid w:val="00370436"/>
    <w:rsid w:val="00376B81"/>
    <w:rsid w:val="00380CD0"/>
    <w:rsid w:val="00381CA3"/>
    <w:rsid w:val="003821B3"/>
    <w:rsid w:val="00386CFF"/>
    <w:rsid w:val="00396F85"/>
    <w:rsid w:val="003A33B8"/>
    <w:rsid w:val="003A42A8"/>
    <w:rsid w:val="003A685A"/>
    <w:rsid w:val="003B5D4A"/>
    <w:rsid w:val="003C1628"/>
    <w:rsid w:val="003C2049"/>
    <w:rsid w:val="003C4A97"/>
    <w:rsid w:val="003C4F08"/>
    <w:rsid w:val="003C51CF"/>
    <w:rsid w:val="003D211C"/>
    <w:rsid w:val="003D31F9"/>
    <w:rsid w:val="003D4A8B"/>
    <w:rsid w:val="003E03CC"/>
    <w:rsid w:val="003E0FB8"/>
    <w:rsid w:val="003E311C"/>
    <w:rsid w:val="003E7144"/>
    <w:rsid w:val="003F0065"/>
    <w:rsid w:val="003F0561"/>
    <w:rsid w:val="003F64C6"/>
    <w:rsid w:val="004006D5"/>
    <w:rsid w:val="004079F3"/>
    <w:rsid w:val="00412B0C"/>
    <w:rsid w:val="00413558"/>
    <w:rsid w:val="004159CF"/>
    <w:rsid w:val="004221B2"/>
    <w:rsid w:val="004241F6"/>
    <w:rsid w:val="0042678D"/>
    <w:rsid w:val="00432780"/>
    <w:rsid w:val="004363C7"/>
    <w:rsid w:val="0045198E"/>
    <w:rsid w:val="0045225F"/>
    <w:rsid w:val="00462EA0"/>
    <w:rsid w:val="0046303B"/>
    <w:rsid w:val="00464604"/>
    <w:rsid w:val="00466568"/>
    <w:rsid w:val="00466CD3"/>
    <w:rsid w:val="00470A62"/>
    <w:rsid w:val="00480345"/>
    <w:rsid w:val="0048283D"/>
    <w:rsid w:val="004828B0"/>
    <w:rsid w:val="00485DBB"/>
    <w:rsid w:val="004949AC"/>
    <w:rsid w:val="00495BFD"/>
    <w:rsid w:val="00495E9A"/>
    <w:rsid w:val="00496621"/>
    <w:rsid w:val="00497D4E"/>
    <w:rsid w:val="004A7CD1"/>
    <w:rsid w:val="004B688D"/>
    <w:rsid w:val="004C2F45"/>
    <w:rsid w:val="004C3CA0"/>
    <w:rsid w:val="004C74D3"/>
    <w:rsid w:val="004D50E9"/>
    <w:rsid w:val="004D5666"/>
    <w:rsid w:val="004E067D"/>
    <w:rsid w:val="004E2CDB"/>
    <w:rsid w:val="004E76E5"/>
    <w:rsid w:val="004F1EE9"/>
    <w:rsid w:val="00500AB9"/>
    <w:rsid w:val="00500C04"/>
    <w:rsid w:val="0051048A"/>
    <w:rsid w:val="005117E5"/>
    <w:rsid w:val="00512F4D"/>
    <w:rsid w:val="00514A58"/>
    <w:rsid w:val="00517E1D"/>
    <w:rsid w:val="00527013"/>
    <w:rsid w:val="005314FE"/>
    <w:rsid w:val="005326B1"/>
    <w:rsid w:val="00533AB2"/>
    <w:rsid w:val="005370AD"/>
    <w:rsid w:val="005370FA"/>
    <w:rsid w:val="00545F7B"/>
    <w:rsid w:val="00546C11"/>
    <w:rsid w:val="00546F2C"/>
    <w:rsid w:val="00550BA1"/>
    <w:rsid w:val="005517E1"/>
    <w:rsid w:val="00551D27"/>
    <w:rsid w:val="00555A78"/>
    <w:rsid w:val="00557AB6"/>
    <w:rsid w:val="005649C1"/>
    <w:rsid w:val="00571BF5"/>
    <w:rsid w:val="00573970"/>
    <w:rsid w:val="005960AF"/>
    <w:rsid w:val="00597449"/>
    <w:rsid w:val="005A07ED"/>
    <w:rsid w:val="005A13C0"/>
    <w:rsid w:val="005A5911"/>
    <w:rsid w:val="005A7055"/>
    <w:rsid w:val="005A767C"/>
    <w:rsid w:val="005B08DA"/>
    <w:rsid w:val="005B1B18"/>
    <w:rsid w:val="005B6855"/>
    <w:rsid w:val="005C1DA3"/>
    <w:rsid w:val="005C2BCC"/>
    <w:rsid w:val="005C2BDC"/>
    <w:rsid w:val="005C59F0"/>
    <w:rsid w:val="005C5E09"/>
    <w:rsid w:val="005D2836"/>
    <w:rsid w:val="005D555D"/>
    <w:rsid w:val="005E0CE0"/>
    <w:rsid w:val="005E4913"/>
    <w:rsid w:val="005E4A26"/>
    <w:rsid w:val="005E4FCE"/>
    <w:rsid w:val="005E555B"/>
    <w:rsid w:val="005E6107"/>
    <w:rsid w:val="005F16DE"/>
    <w:rsid w:val="005F21A2"/>
    <w:rsid w:val="00600BB4"/>
    <w:rsid w:val="00607E35"/>
    <w:rsid w:val="00613776"/>
    <w:rsid w:val="00615252"/>
    <w:rsid w:val="006204EE"/>
    <w:rsid w:val="00624C39"/>
    <w:rsid w:val="00625B45"/>
    <w:rsid w:val="0062605E"/>
    <w:rsid w:val="00627ABC"/>
    <w:rsid w:val="006320E8"/>
    <w:rsid w:val="00644D59"/>
    <w:rsid w:val="00647467"/>
    <w:rsid w:val="00647856"/>
    <w:rsid w:val="0065044D"/>
    <w:rsid w:val="0065209E"/>
    <w:rsid w:val="00655504"/>
    <w:rsid w:val="0066000F"/>
    <w:rsid w:val="006653CB"/>
    <w:rsid w:val="006708EF"/>
    <w:rsid w:val="00670F2E"/>
    <w:rsid w:val="0067178A"/>
    <w:rsid w:val="00674AFF"/>
    <w:rsid w:val="00676580"/>
    <w:rsid w:val="00676F01"/>
    <w:rsid w:val="00682DD7"/>
    <w:rsid w:val="00686F67"/>
    <w:rsid w:val="006906CD"/>
    <w:rsid w:val="00691C7F"/>
    <w:rsid w:val="006925CE"/>
    <w:rsid w:val="00692F62"/>
    <w:rsid w:val="006966B5"/>
    <w:rsid w:val="006978EC"/>
    <w:rsid w:val="006B0D1A"/>
    <w:rsid w:val="006B113C"/>
    <w:rsid w:val="006C2A96"/>
    <w:rsid w:val="006C39D3"/>
    <w:rsid w:val="006C4BC0"/>
    <w:rsid w:val="006C5ADA"/>
    <w:rsid w:val="006D0C2E"/>
    <w:rsid w:val="006D4B3F"/>
    <w:rsid w:val="006D6CCB"/>
    <w:rsid w:val="006E5BA3"/>
    <w:rsid w:val="00701B99"/>
    <w:rsid w:val="00702DA9"/>
    <w:rsid w:val="007236FE"/>
    <w:rsid w:val="0073015F"/>
    <w:rsid w:val="00731516"/>
    <w:rsid w:val="00732A52"/>
    <w:rsid w:val="00743AF1"/>
    <w:rsid w:val="00745BF0"/>
    <w:rsid w:val="00751019"/>
    <w:rsid w:val="00756B7E"/>
    <w:rsid w:val="0076690A"/>
    <w:rsid w:val="00775194"/>
    <w:rsid w:val="007834CC"/>
    <w:rsid w:val="0079126B"/>
    <w:rsid w:val="007934CD"/>
    <w:rsid w:val="0079709C"/>
    <w:rsid w:val="007971D1"/>
    <w:rsid w:val="007A2EED"/>
    <w:rsid w:val="007A3D46"/>
    <w:rsid w:val="007C6AE8"/>
    <w:rsid w:val="007D1828"/>
    <w:rsid w:val="007D4FF6"/>
    <w:rsid w:val="007D51EB"/>
    <w:rsid w:val="007D586B"/>
    <w:rsid w:val="007D67CB"/>
    <w:rsid w:val="007E2BE1"/>
    <w:rsid w:val="007E4037"/>
    <w:rsid w:val="007E5FEB"/>
    <w:rsid w:val="007F3EE3"/>
    <w:rsid w:val="007F416E"/>
    <w:rsid w:val="007F7840"/>
    <w:rsid w:val="00802E41"/>
    <w:rsid w:val="008031E9"/>
    <w:rsid w:val="008039CB"/>
    <w:rsid w:val="0080596A"/>
    <w:rsid w:val="00807CAF"/>
    <w:rsid w:val="00812689"/>
    <w:rsid w:val="00814823"/>
    <w:rsid w:val="008160CC"/>
    <w:rsid w:val="00816FCA"/>
    <w:rsid w:val="008177C6"/>
    <w:rsid w:val="00832B08"/>
    <w:rsid w:val="00843BF9"/>
    <w:rsid w:val="00843E58"/>
    <w:rsid w:val="008448F6"/>
    <w:rsid w:val="008471E3"/>
    <w:rsid w:val="008557BD"/>
    <w:rsid w:val="0085701D"/>
    <w:rsid w:val="008573FE"/>
    <w:rsid w:val="00857D81"/>
    <w:rsid w:val="00860CBB"/>
    <w:rsid w:val="00861BF3"/>
    <w:rsid w:val="00862972"/>
    <w:rsid w:val="00863FC2"/>
    <w:rsid w:val="008654ED"/>
    <w:rsid w:val="00871037"/>
    <w:rsid w:val="0087242A"/>
    <w:rsid w:val="0087277E"/>
    <w:rsid w:val="00872B9B"/>
    <w:rsid w:val="008759E7"/>
    <w:rsid w:val="00885676"/>
    <w:rsid w:val="008909F8"/>
    <w:rsid w:val="008957BD"/>
    <w:rsid w:val="008A6CEF"/>
    <w:rsid w:val="008B0897"/>
    <w:rsid w:val="008B10F4"/>
    <w:rsid w:val="008B64FE"/>
    <w:rsid w:val="008B666C"/>
    <w:rsid w:val="008C04C8"/>
    <w:rsid w:val="008D0F4D"/>
    <w:rsid w:val="008D16C1"/>
    <w:rsid w:val="008E0672"/>
    <w:rsid w:val="008E0F77"/>
    <w:rsid w:val="008E1329"/>
    <w:rsid w:val="008E35A2"/>
    <w:rsid w:val="008E6028"/>
    <w:rsid w:val="008E7747"/>
    <w:rsid w:val="008F16E7"/>
    <w:rsid w:val="008F4512"/>
    <w:rsid w:val="009023F4"/>
    <w:rsid w:val="0090336A"/>
    <w:rsid w:val="009066A2"/>
    <w:rsid w:val="00911B5D"/>
    <w:rsid w:val="0091533D"/>
    <w:rsid w:val="00916135"/>
    <w:rsid w:val="00920FE2"/>
    <w:rsid w:val="009210F1"/>
    <w:rsid w:val="00921CF7"/>
    <w:rsid w:val="00922B10"/>
    <w:rsid w:val="00923C59"/>
    <w:rsid w:val="009311E5"/>
    <w:rsid w:val="00934BCC"/>
    <w:rsid w:val="0093516C"/>
    <w:rsid w:val="009376E7"/>
    <w:rsid w:val="00937994"/>
    <w:rsid w:val="0094145F"/>
    <w:rsid w:val="009448D7"/>
    <w:rsid w:val="00944E0A"/>
    <w:rsid w:val="009456D4"/>
    <w:rsid w:val="00947575"/>
    <w:rsid w:val="00953245"/>
    <w:rsid w:val="00953516"/>
    <w:rsid w:val="009538E2"/>
    <w:rsid w:val="00954A5A"/>
    <w:rsid w:val="009555EE"/>
    <w:rsid w:val="00960374"/>
    <w:rsid w:val="009620D2"/>
    <w:rsid w:val="0096448A"/>
    <w:rsid w:val="00967E46"/>
    <w:rsid w:val="009705D5"/>
    <w:rsid w:val="00972289"/>
    <w:rsid w:val="00973E57"/>
    <w:rsid w:val="00977FEE"/>
    <w:rsid w:val="00982B71"/>
    <w:rsid w:val="009833A1"/>
    <w:rsid w:val="009916E3"/>
    <w:rsid w:val="009948F5"/>
    <w:rsid w:val="009A3A27"/>
    <w:rsid w:val="009B0607"/>
    <w:rsid w:val="009B75EB"/>
    <w:rsid w:val="009D5584"/>
    <w:rsid w:val="009E4BB7"/>
    <w:rsid w:val="009F0B82"/>
    <w:rsid w:val="009F34A7"/>
    <w:rsid w:val="009F6952"/>
    <w:rsid w:val="00A019E5"/>
    <w:rsid w:val="00A03B33"/>
    <w:rsid w:val="00A053D9"/>
    <w:rsid w:val="00A05D7C"/>
    <w:rsid w:val="00A06CDB"/>
    <w:rsid w:val="00A06F32"/>
    <w:rsid w:val="00A15452"/>
    <w:rsid w:val="00A2399F"/>
    <w:rsid w:val="00A274B5"/>
    <w:rsid w:val="00A344FB"/>
    <w:rsid w:val="00A34E9D"/>
    <w:rsid w:val="00A358F6"/>
    <w:rsid w:val="00A374DA"/>
    <w:rsid w:val="00A376E0"/>
    <w:rsid w:val="00A403D5"/>
    <w:rsid w:val="00A441EE"/>
    <w:rsid w:val="00A4750B"/>
    <w:rsid w:val="00A5019C"/>
    <w:rsid w:val="00A61A79"/>
    <w:rsid w:val="00A63990"/>
    <w:rsid w:val="00A826A1"/>
    <w:rsid w:val="00A82CF9"/>
    <w:rsid w:val="00A843DE"/>
    <w:rsid w:val="00A87756"/>
    <w:rsid w:val="00A921E7"/>
    <w:rsid w:val="00A9519E"/>
    <w:rsid w:val="00AA06D4"/>
    <w:rsid w:val="00AA1E5D"/>
    <w:rsid w:val="00AA2AC0"/>
    <w:rsid w:val="00AA3C94"/>
    <w:rsid w:val="00AA5934"/>
    <w:rsid w:val="00AA5A55"/>
    <w:rsid w:val="00AA6B66"/>
    <w:rsid w:val="00AB0B35"/>
    <w:rsid w:val="00AB6BF2"/>
    <w:rsid w:val="00AE3F53"/>
    <w:rsid w:val="00AE5A95"/>
    <w:rsid w:val="00AF1D26"/>
    <w:rsid w:val="00AF3C9E"/>
    <w:rsid w:val="00AF3F2F"/>
    <w:rsid w:val="00AF4D02"/>
    <w:rsid w:val="00AF7E0A"/>
    <w:rsid w:val="00B021C5"/>
    <w:rsid w:val="00B02EF0"/>
    <w:rsid w:val="00B039DC"/>
    <w:rsid w:val="00B04C2A"/>
    <w:rsid w:val="00B06B0E"/>
    <w:rsid w:val="00B137F3"/>
    <w:rsid w:val="00B20812"/>
    <w:rsid w:val="00B24149"/>
    <w:rsid w:val="00B2464F"/>
    <w:rsid w:val="00B26A0B"/>
    <w:rsid w:val="00B271E0"/>
    <w:rsid w:val="00B2747D"/>
    <w:rsid w:val="00B32ABB"/>
    <w:rsid w:val="00B357B4"/>
    <w:rsid w:val="00B43D1F"/>
    <w:rsid w:val="00B51589"/>
    <w:rsid w:val="00B5270C"/>
    <w:rsid w:val="00B52C1D"/>
    <w:rsid w:val="00B5461C"/>
    <w:rsid w:val="00B5464E"/>
    <w:rsid w:val="00B55606"/>
    <w:rsid w:val="00B61CA6"/>
    <w:rsid w:val="00B72E2D"/>
    <w:rsid w:val="00B744C7"/>
    <w:rsid w:val="00B75792"/>
    <w:rsid w:val="00B84A60"/>
    <w:rsid w:val="00B87226"/>
    <w:rsid w:val="00B87ABE"/>
    <w:rsid w:val="00B917D6"/>
    <w:rsid w:val="00B93BE8"/>
    <w:rsid w:val="00BA237D"/>
    <w:rsid w:val="00BA3448"/>
    <w:rsid w:val="00BA7CD7"/>
    <w:rsid w:val="00BB2AF7"/>
    <w:rsid w:val="00BB6379"/>
    <w:rsid w:val="00BB6CA2"/>
    <w:rsid w:val="00BB7E97"/>
    <w:rsid w:val="00BC0499"/>
    <w:rsid w:val="00BC161A"/>
    <w:rsid w:val="00BC1996"/>
    <w:rsid w:val="00BC1C3B"/>
    <w:rsid w:val="00BC1DFF"/>
    <w:rsid w:val="00BC33FC"/>
    <w:rsid w:val="00BC5274"/>
    <w:rsid w:val="00BC768B"/>
    <w:rsid w:val="00BD3375"/>
    <w:rsid w:val="00BD37AA"/>
    <w:rsid w:val="00BD7A4C"/>
    <w:rsid w:val="00BE15AD"/>
    <w:rsid w:val="00BE1BA6"/>
    <w:rsid w:val="00BE458B"/>
    <w:rsid w:val="00BF0114"/>
    <w:rsid w:val="00C03E20"/>
    <w:rsid w:val="00C10E58"/>
    <w:rsid w:val="00C10F60"/>
    <w:rsid w:val="00C310A1"/>
    <w:rsid w:val="00C3382A"/>
    <w:rsid w:val="00C358A4"/>
    <w:rsid w:val="00C35CB7"/>
    <w:rsid w:val="00C40027"/>
    <w:rsid w:val="00C41A76"/>
    <w:rsid w:val="00C43C99"/>
    <w:rsid w:val="00C46056"/>
    <w:rsid w:val="00C55E87"/>
    <w:rsid w:val="00C57F7D"/>
    <w:rsid w:val="00C6552E"/>
    <w:rsid w:val="00C66BF0"/>
    <w:rsid w:val="00C70C24"/>
    <w:rsid w:val="00C74419"/>
    <w:rsid w:val="00C74D0C"/>
    <w:rsid w:val="00C7682E"/>
    <w:rsid w:val="00C818E6"/>
    <w:rsid w:val="00C82837"/>
    <w:rsid w:val="00C85D2D"/>
    <w:rsid w:val="00C8652B"/>
    <w:rsid w:val="00C91307"/>
    <w:rsid w:val="00C93CF5"/>
    <w:rsid w:val="00C93E31"/>
    <w:rsid w:val="00C93ED7"/>
    <w:rsid w:val="00C94347"/>
    <w:rsid w:val="00C95694"/>
    <w:rsid w:val="00CA4B32"/>
    <w:rsid w:val="00CA54DA"/>
    <w:rsid w:val="00CB0086"/>
    <w:rsid w:val="00CB4D1A"/>
    <w:rsid w:val="00CC4D49"/>
    <w:rsid w:val="00CC510E"/>
    <w:rsid w:val="00CC73A1"/>
    <w:rsid w:val="00CC7F49"/>
    <w:rsid w:val="00CD0EDD"/>
    <w:rsid w:val="00CD2688"/>
    <w:rsid w:val="00CD45D6"/>
    <w:rsid w:val="00CE00B0"/>
    <w:rsid w:val="00CE0C80"/>
    <w:rsid w:val="00CE1765"/>
    <w:rsid w:val="00CE5C57"/>
    <w:rsid w:val="00CF0176"/>
    <w:rsid w:val="00D01002"/>
    <w:rsid w:val="00D01080"/>
    <w:rsid w:val="00D01DB4"/>
    <w:rsid w:val="00D02E1C"/>
    <w:rsid w:val="00D03612"/>
    <w:rsid w:val="00D04ECE"/>
    <w:rsid w:val="00D070B5"/>
    <w:rsid w:val="00D07122"/>
    <w:rsid w:val="00D07F9F"/>
    <w:rsid w:val="00D11ED9"/>
    <w:rsid w:val="00D14CCB"/>
    <w:rsid w:val="00D17C4E"/>
    <w:rsid w:val="00D21053"/>
    <w:rsid w:val="00D211B5"/>
    <w:rsid w:val="00D215DC"/>
    <w:rsid w:val="00D27393"/>
    <w:rsid w:val="00D35D65"/>
    <w:rsid w:val="00D3774E"/>
    <w:rsid w:val="00D414A1"/>
    <w:rsid w:val="00D42241"/>
    <w:rsid w:val="00D439C6"/>
    <w:rsid w:val="00D53A30"/>
    <w:rsid w:val="00D541BD"/>
    <w:rsid w:val="00D55BE7"/>
    <w:rsid w:val="00D565E8"/>
    <w:rsid w:val="00D63D28"/>
    <w:rsid w:val="00D6459A"/>
    <w:rsid w:val="00D7046B"/>
    <w:rsid w:val="00D726AE"/>
    <w:rsid w:val="00D7312F"/>
    <w:rsid w:val="00D76009"/>
    <w:rsid w:val="00D76E49"/>
    <w:rsid w:val="00D779AF"/>
    <w:rsid w:val="00D916AA"/>
    <w:rsid w:val="00D920B9"/>
    <w:rsid w:val="00D9221F"/>
    <w:rsid w:val="00D963BA"/>
    <w:rsid w:val="00DA17F7"/>
    <w:rsid w:val="00DA5199"/>
    <w:rsid w:val="00DB106E"/>
    <w:rsid w:val="00DB4CBB"/>
    <w:rsid w:val="00DC0E19"/>
    <w:rsid w:val="00DC1489"/>
    <w:rsid w:val="00DC7641"/>
    <w:rsid w:val="00DD3F1B"/>
    <w:rsid w:val="00DD4C02"/>
    <w:rsid w:val="00DE0FAB"/>
    <w:rsid w:val="00DE2047"/>
    <w:rsid w:val="00DE3705"/>
    <w:rsid w:val="00DE3BD1"/>
    <w:rsid w:val="00DE44DC"/>
    <w:rsid w:val="00DE4A4A"/>
    <w:rsid w:val="00DE7911"/>
    <w:rsid w:val="00DF24D4"/>
    <w:rsid w:val="00DF2993"/>
    <w:rsid w:val="00DF2C24"/>
    <w:rsid w:val="00DF3FCE"/>
    <w:rsid w:val="00DF5151"/>
    <w:rsid w:val="00DF567D"/>
    <w:rsid w:val="00DF6CDE"/>
    <w:rsid w:val="00E01783"/>
    <w:rsid w:val="00E017F5"/>
    <w:rsid w:val="00E05B8B"/>
    <w:rsid w:val="00E05CAE"/>
    <w:rsid w:val="00E113D7"/>
    <w:rsid w:val="00E14A30"/>
    <w:rsid w:val="00E1565A"/>
    <w:rsid w:val="00E215CF"/>
    <w:rsid w:val="00E2314E"/>
    <w:rsid w:val="00E2334E"/>
    <w:rsid w:val="00E273E3"/>
    <w:rsid w:val="00E2749A"/>
    <w:rsid w:val="00E27FFE"/>
    <w:rsid w:val="00E421B2"/>
    <w:rsid w:val="00E45A59"/>
    <w:rsid w:val="00E463A2"/>
    <w:rsid w:val="00E516D1"/>
    <w:rsid w:val="00E52F81"/>
    <w:rsid w:val="00E530AB"/>
    <w:rsid w:val="00E6067E"/>
    <w:rsid w:val="00E6698C"/>
    <w:rsid w:val="00E729F1"/>
    <w:rsid w:val="00E77F57"/>
    <w:rsid w:val="00E85719"/>
    <w:rsid w:val="00E87EEC"/>
    <w:rsid w:val="00E903AE"/>
    <w:rsid w:val="00E90CCB"/>
    <w:rsid w:val="00E91166"/>
    <w:rsid w:val="00EA09AA"/>
    <w:rsid w:val="00EA2ACE"/>
    <w:rsid w:val="00EA7677"/>
    <w:rsid w:val="00EA7C90"/>
    <w:rsid w:val="00EB2724"/>
    <w:rsid w:val="00EB4494"/>
    <w:rsid w:val="00EB5527"/>
    <w:rsid w:val="00EB5AF4"/>
    <w:rsid w:val="00EB5CD2"/>
    <w:rsid w:val="00EC2234"/>
    <w:rsid w:val="00ED2B3D"/>
    <w:rsid w:val="00ED2D0D"/>
    <w:rsid w:val="00ED3743"/>
    <w:rsid w:val="00ED47A9"/>
    <w:rsid w:val="00ED6484"/>
    <w:rsid w:val="00EE0AB1"/>
    <w:rsid w:val="00EE194F"/>
    <w:rsid w:val="00EE1DC7"/>
    <w:rsid w:val="00EE2525"/>
    <w:rsid w:val="00EE3BA8"/>
    <w:rsid w:val="00EE4E31"/>
    <w:rsid w:val="00EE6248"/>
    <w:rsid w:val="00EE79F8"/>
    <w:rsid w:val="00EF4DD5"/>
    <w:rsid w:val="00EF5045"/>
    <w:rsid w:val="00EF5870"/>
    <w:rsid w:val="00F00075"/>
    <w:rsid w:val="00F01C3F"/>
    <w:rsid w:val="00F021EE"/>
    <w:rsid w:val="00F02E69"/>
    <w:rsid w:val="00F1341B"/>
    <w:rsid w:val="00F14713"/>
    <w:rsid w:val="00F17907"/>
    <w:rsid w:val="00F244FC"/>
    <w:rsid w:val="00F25E65"/>
    <w:rsid w:val="00F3339A"/>
    <w:rsid w:val="00F35B14"/>
    <w:rsid w:val="00F40622"/>
    <w:rsid w:val="00F41785"/>
    <w:rsid w:val="00F612B2"/>
    <w:rsid w:val="00F64ED1"/>
    <w:rsid w:val="00F658B8"/>
    <w:rsid w:val="00F70D02"/>
    <w:rsid w:val="00F7425D"/>
    <w:rsid w:val="00F75655"/>
    <w:rsid w:val="00F8023E"/>
    <w:rsid w:val="00F821A5"/>
    <w:rsid w:val="00F83E36"/>
    <w:rsid w:val="00F8561C"/>
    <w:rsid w:val="00F85E22"/>
    <w:rsid w:val="00F8780C"/>
    <w:rsid w:val="00F90C90"/>
    <w:rsid w:val="00F94700"/>
    <w:rsid w:val="00F95445"/>
    <w:rsid w:val="00F96BEC"/>
    <w:rsid w:val="00F97AE1"/>
    <w:rsid w:val="00FA05B0"/>
    <w:rsid w:val="00FA2E12"/>
    <w:rsid w:val="00FA615E"/>
    <w:rsid w:val="00FB0311"/>
    <w:rsid w:val="00FB2C57"/>
    <w:rsid w:val="00FB51DC"/>
    <w:rsid w:val="00FB5609"/>
    <w:rsid w:val="00FC1F62"/>
    <w:rsid w:val="00FC2303"/>
    <w:rsid w:val="00FC425F"/>
    <w:rsid w:val="00FC62B2"/>
    <w:rsid w:val="00FD0A45"/>
    <w:rsid w:val="00FD78C8"/>
    <w:rsid w:val="00FE5DF1"/>
    <w:rsid w:val="00FE6C2A"/>
    <w:rsid w:val="00FF2C3D"/>
    <w:rsid w:val="00FF2ED6"/>
    <w:rsid w:val="00FF3051"/>
    <w:rsid w:val="00FF41C6"/>
    <w:rsid w:val="00FF448F"/>
    <w:rsid w:val="00FF7496"/>
    <w:rsid w:val="039C2E56"/>
    <w:rsid w:val="0D7A69A3"/>
    <w:rsid w:val="173E1AC4"/>
    <w:rsid w:val="1D155CE4"/>
    <w:rsid w:val="21676C37"/>
    <w:rsid w:val="27E1215F"/>
    <w:rsid w:val="36272171"/>
    <w:rsid w:val="3E670F80"/>
    <w:rsid w:val="412A4DA5"/>
    <w:rsid w:val="483B2A48"/>
    <w:rsid w:val="590335ED"/>
    <w:rsid w:val="60465003"/>
    <w:rsid w:val="6CC505D8"/>
    <w:rsid w:val="79AE6327"/>
    <w:rsid w:val="7C1316F8"/>
    <w:rsid w:val="7F3D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2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21"/>
    <w:semiHidden/>
    <w:unhideWhenUsed/>
    <w:qFormat/>
    <w:uiPriority w:val="99"/>
    <w:pPr>
      <w:ind w:left="100" w:leftChars="2500"/>
    </w:pPr>
  </w:style>
  <w:style w:type="paragraph" w:styleId="4">
    <w:name w:val="Balloon Text"/>
    <w:basedOn w:val="1"/>
    <w:link w:val="20"/>
    <w:semiHidden/>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footnote text"/>
    <w:basedOn w:val="1"/>
    <w:link w:val="28"/>
    <w:unhideWhenUsed/>
    <w:qFormat/>
    <w:uiPriority w:val="0"/>
    <w:pPr>
      <w:snapToGrid w:val="0"/>
      <w:spacing w:before="40" w:after="40"/>
      <w:jc w:val="left"/>
    </w:pPr>
    <w:rPr>
      <w:sz w:val="18"/>
      <w:szCs w:val="18"/>
    </w:rPr>
  </w:style>
  <w:style w:type="paragraph" w:styleId="8">
    <w:name w:val="HTML Preformatted"/>
    <w:basedOn w:val="1"/>
    <w:link w:val="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footnote reference"/>
    <w:basedOn w:val="12"/>
    <w:unhideWhenUsed/>
    <w:qFormat/>
    <w:uiPriority w:val="0"/>
    <w:rPr>
      <w:vertAlign w:val="superscript"/>
    </w:rPr>
  </w:style>
  <w:style w:type="character" w:customStyle="1" w:styleId="15">
    <w:name w:val="页眉 字符"/>
    <w:link w:val="6"/>
    <w:qFormat/>
    <w:uiPriority w:val="0"/>
    <w:rPr>
      <w:sz w:val="18"/>
      <w:szCs w:val="18"/>
    </w:rPr>
  </w:style>
  <w:style w:type="character" w:customStyle="1" w:styleId="16">
    <w:name w:val="页脚 字符"/>
    <w:link w:val="5"/>
    <w:qFormat/>
    <w:uiPriority w:val="99"/>
    <w:rPr>
      <w:sz w:val="18"/>
      <w:szCs w:val="18"/>
    </w:rPr>
  </w:style>
  <w:style w:type="character" w:customStyle="1" w:styleId="17">
    <w:name w:val="页眉 Char1"/>
    <w:basedOn w:val="12"/>
    <w:semiHidden/>
    <w:qFormat/>
    <w:uiPriority w:val="99"/>
    <w:rPr>
      <w:rFonts w:ascii="Times New Roman" w:hAnsi="Times New Roman" w:eastAsia="宋体" w:cs="Times New Roman"/>
      <w:sz w:val="18"/>
      <w:szCs w:val="18"/>
    </w:rPr>
  </w:style>
  <w:style w:type="character" w:customStyle="1" w:styleId="18">
    <w:name w:val="页脚 Char1"/>
    <w:basedOn w:val="12"/>
    <w:semiHidden/>
    <w:qFormat/>
    <w:uiPriority w:val="99"/>
    <w:rPr>
      <w:rFonts w:ascii="Times New Roman" w:hAnsi="Times New Roman" w:eastAsia="宋体" w:cs="Times New Roman"/>
      <w:sz w:val="18"/>
      <w:szCs w:val="18"/>
    </w:rPr>
  </w:style>
  <w:style w:type="paragraph" w:styleId="19">
    <w:name w:val="List Paragraph"/>
    <w:basedOn w:val="1"/>
    <w:qFormat/>
    <w:uiPriority w:val="99"/>
    <w:pPr>
      <w:ind w:firstLine="420" w:firstLineChars="200"/>
    </w:pPr>
    <w:rPr>
      <w:rFonts w:ascii="Calibri" w:hAnsi="Calibri" w:cs="黑体"/>
      <w:szCs w:val="22"/>
    </w:rPr>
  </w:style>
  <w:style w:type="character" w:customStyle="1" w:styleId="20">
    <w:name w:val="批注框文本 字符"/>
    <w:basedOn w:val="12"/>
    <w:link w:val="4"/>
    <w:semiHidden/>
    <w:qFormat/>
    <w:uiPriority w:val="99"/>
    <w:rPr>
      <w:rFonts w:ascii="Times New Roman" w:hAnsi="Times New Roman" w:eastAsia="宋体" w:cs="Times New Roman"/>
      <w:sz w:val="18"/>
      <w:szCs w:val="18"/>
    </w:rPr>
  </w:style>
  <w:style w:type="character" w:customStyle="1" w:styleId="21">
    <w:name w:val="日期 字符"/>
    <w:basedOn w:val="12"/>
    <w:link w:val="3"/>
    <w:semiHidden/>
    <w:qFormat/>
    <w:uiPriority w:val="99"/>
    <w:rPr>
      <w:rFonts w:ascii="Times New Roman" w:hAnsi="Times New Roman" w:eastAsia="宋体" w:cs="Times New Roman"/>
      <w:szCs w:val="24"/>
    </w:rPr>
  </w:style>
  <w:style w:type="character" w:customStyle="1" w:styleId="22">
    <w:name w:val="markedcontent"/>
    <w:basedOn w:val="12"/>
    <w:qFormat/>
    <w:uiPriority w:val="0"/>
  </w:style>
  <w:style w:type="paragraph" w:customStyle="1" w:styleId="23">
    <w:name w:val="align-left"/>
    <w:basedOn w:val="1"/>
    <w:uiPriority w:val="0"/>
    <w:pPr>
      <w:widowControl/>
      <w:spacing w:before="100" w:beforeAutospacing="1" w:after="100" w:afterAutospacing="1"/>
      <w:jc w:val="left"/>
    </w:pPr>
    <w:rPr>
      <w:rFonts w:ascii="宋体" w:hAnsi="宋体" w:cs="宋体"/>
      <w:kern w:val="0"/>
      <w:sz w:val="24"/>
    </w:rPr>
  </w:style>
  <w:style w:type="character" w:customStyle="1" w:styleId="24">
    <w:name w:val="HTML 预设格式 字符"/>
    <w:basedOn w:val="12"/>
    <w:link w:val="8"/>
    <w:qFormat/>
    <w:uiPriority w:val="99"/>
    <w:rPr>
      <w:rFonts w:ascii="宋体" w:hAnsi="宋体" w:eastAsia="宋体" w:cs="宋体"/>
      <w:sz w:val="24"/>
      <w:szCs w:val="24"/>
    </w:rPr>
  </w:style>
  <w:style w:type="character" w:customStyle="1" w:styleId="25">
    <w:name w:val="标题 1 字符"/>
    <w:basedOn w:val="12"/>
    <w:link w:val="2"/>
    <w:qFormat/>
    <w:uiPriority w:val="9"/>
    <w:rPr>
      <w:rFonts w:ascii="宋体" w:hAnsi="宋体" w:eastAsia="宋体" w:cs="宋体"/>
      <w:b/>
      <w:bCs/>
      <w:kern w:val="36"/>
      <w:sz w:val="48"/>
      <w:szCs w:val="48"/>
    </w:rPr>
  </w:style>
  <w:style w:type="paragraph" w:customStyle="1" w:styleId="26">
    <w:name w:val="年报正文"/>
    <w:basedOn w:val="1"/>
    <w:link w:val="27"/>
    <w:qFormat/>
    <w:uiPriority w:val="0"/>
    <w:pPr>
      <w:autoSpaceDE w:val="0"/>
      <w:autoSpaceDN w:val="0"/>
      <w:adjustRightInd w:val="0"/>
      <w:spacing w:line="360" w:lineRule="auto"/>
      <w:ind w:firstLine="480"/>
    </w:pPr>
    <w:rPr>
      <w:rFonts w:cs="宋体" w:asciiTheme="minorEastAsia" w:hAnsiTheme="minorEastAsia" w:eastAsiaTheme="minorEastAsia"/>
      <w:kern w:val="0"/>
      <w:szCs w:val="21"/>
      <w:lang w:val="zh-CN"/>
    </w:rPr>
  </w:style>
  <w:style w:type="character" w:customStyle="1" w:styleId="27">
    <w:name w:val="年报正文 Char"/>
    <w:basedOn w:val="12"/>
    <w:link w:val="26"/>
    <w:qFormat/>
    <w:uiPriority w:val="0"/>
    <w:rPr>
      <w:rFonts w:cs="宋体" w:asciiTheme="minorEastAsia" w:hAnsiTheme="minorEastAsia"/>
      <w:sz w:val="21"/>
      <w:szCs w:val="21"/>
      <w:lang w:val="zh-CN"/>
    </w:rPr>
  </w:style>
  <w:style w:type="character" w:customStyle="1" w:styleId="28">
    <w:name w:val="脚注文本 字符"/>
    <w:basedOn w:val="12"/>
    <w:link w:val="7"/>
    <w:qFormat/>
    <w:uiPriority w:val="0"/>
    <w:rPr>
      <w:rFonts w:ascii="Times New Roman" w:hAnsi="Times New Roman" w:eastAsia="宋体" w:cs="Times New Roman"/>
      <w:kern w:val="2"/>
      <w:sz w:val="18"/>
      <w:szCs w:val="18"/>
    </w:rPr>
  </w:style>
  <w:style w:type="paragraph" w:customStyle="1" w:styleId="29">
    <w:name w:val="ZX_STYLES_GRAPH_TITLE_NOLINE"/>
    <w:basedOn w:val="1"/>
    <w:uiPriority w:val="0"/>
    <w:pPr>
      <w:spacing w:before="80" w:beforeLines="80" w:line="220" w:lineRule="exact"/>
    </w:pPr>
    <w:rPr>
      <w:rFonts w:ascii="Arial" w:hAnsi="Arial" w:eastAsia="黑体" w:cs="黑体"/>
      <w:color w:val="0D0D0D"/>
      <w:sz w:val="16"/>
      <w:szCs w:val="20"/>
      <w:u w:color="0D0D0D"/>
      <w:lang w:bidi="en-US"/>
    </w:rPr>
  </w:style>
  <w:style w:type="paragraph" w:customStyle="1" w:styleId="30">
    <w:name w:val="ZX_STYLES_TBL_SOURCE"/>
    <w:qFormat/>
    <w:uiPriority w:val="0"/>
    <w:pPr>
      <w:widowControl w:val="0"/>
      <w:spacing w:after="70" w:afterLines="70" w:line="240" w:lineRule="exact"/>
      <w:jc w:val="both"/>
    </w:pPr>
    <w:rPr>
      <w:rFonts w:ascii="Arial" w:hAnsi="Arial" w:eastAsia="黑体" w:cs="黑体"/>
      <w:color w:val="0D0D0D"/>
      <w:kern w:val="2"/>
      <w:sz w:val="16"/>
      <w:u w:color="0D0D0D"/>
      <w:lang w:val="en-US" w:eastAsia="zh-CN" w:bidi="en-US"/>
    </w:rPr>
  </w:style>
  <w:style w:type="paragraph" w:customStyle="1" w:styleId="31">
    <w:name w:val="ZX_STYLES_GRAPH_DISTANCE"/>
    <w:uiPriority w:val="0"/>
    <w:pPr>
      <w:widowControl w:val="0"/>
      <w:spacing w:before="25" w:beforeLines="25" w:after="25" w:afterLines="25"/>
    </w:pPr>
    <w:rPr>
      <w:rFonts w:ascii="Arial" w:hAnsi="Arial" w:eastAsia="黑体" w:cs="黑体"/>
      <w:color w:val="0D0D0D"/>
      <w:kern w:val="2"/>
      <w:sz w:val="16"/>
      <w:u w:color="0D0D0D"/>
      <w:lang w:val="en-US" w:eastAsia="zh-CN" w:bidi="en-US"/>
    </w:rPr>
  </w:style>
  <w:style w:type="table" w:customStyle="1" w:styleId="32">
    <w:name w:val="ZX_STYLES_GRAPH_ONECOL"/>
    <w:basedOn w:val="10"/>
    <w:qFormat/>
    <w:uiPriority w:val="99"/>
    <w:rPr>
      <w:rFonts w:ascii="Arial" w:hAnsi="Arial" w:eastAsia="黑体" w:cs="黑体"/>
      <w:color w:val="0D0D0D"/>
      <w:lang w:bidi="en-US"/>
    </w:rPr>
    <w:tblPr>
      <w:tblBorders>
        <w:insideH w:val="single" w:color="C00000" w:sz="4" w:space="0"/>
      </w:tblBorders>
    </w:tblPr>
  </w:style>
  <w:style w:type="paragraph" w:customStyle="1" w:styleId="33">
    <w:name w:val="石墨文档正文"/>
    <w:qFormat/>
    <w:uiPriority w:val="0"/>
    <w:rPr>
      <w:rFonts w:ascii="Arial Unicode MS" w:hAnsi="Arial Unicode MS" w:cs="Arial Unicode MS" w:eastAsiaTheme="minorEastAsia"/>
      <w:sz w:val="22"/>
      <w:szCs w:val="22"/>
      <w:lang w:val="en-US" w:eastAsia="zh-CN" w:bidi="ar-SA"/>
    </w:rPr>
  </w:style>
  <w:style w:type="paragraph" w:customStyle="1" w:styleId="3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F578B-CF18-45B2-81B2-47A01C4DF7D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3554</Words>
  <Characters>3766</Characters>
  <Lines>99</Lines>
  <Paragraphs>102</Paragraphs>
  <TotalTime>152</TotalTime>
  <ScaleCrop>false</ScaleCrop>
  <LinksUpToDate>false</LinksUpToDate>
  <CharactersWithSpaces>3768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2017-04-14T05:17:00Z</dcterms:created>
  <dc:creator>微软用户</dc:creator>
  <cp:lastModifiedBy>喜根</cp:lastModifiedBy>
  <cp:lastPrinted>2024-05-13T06:20:00Z</cp:lastPrinted>
  <dcterms:modified xsi:type="dcterms:W3CDTF">2025-05-15T10:26:22Z</dcterms:modified>
  <cp:revision>551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DD0426A86D4C41F2AA43A34FCB4D1A3B_13</vt:lpwstr>
  </property>
  <property fmtid="{D5CDD505-2E9C-101B-9397-08002B2CF9AE}" pid="4" name="BD_Document_Page_Count">
    <vt:lpwstr>7</vt:lpwstr>
  </property>
  <property fmtid="{D5CDD505-2E9C-101B-9397-08002B2CF9AE}" pid="5" name="KSOTemplateDocerSaveRecord">
    <vt:lpwstr>eyJoZGlkIjoiMDg3ZmY5ZTNmZjg4YmUwZTQ3ZDJhNTlmMTI0YjkzODIiLCJ1c2VySWQiOiIxMTIyODIwNTY2In0=</vt:lpwstr>
  </property>
</Properties>
</file>